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0F5D7" w14:textId="77777777" w:rsidR="004C6018" w:rsidRPr="00634FC6" w:rsidRDefault="004C6018" w:rsidP="00C8270D">
      <w:pPr>
        <w:jc w:val="center"/>
        <w:rPr>
          <w:rFonts w:ascii="Times New Roman" w:hAnsi="Times New Roman" w:cs="Times New Roman"/>
          <w:b/>
          <w:bCs/>
          <w:sz w:val="28"/>
          <w:szCs w:val="28"/>
        </w:rPr>
      </w:pPr>
      <w:r w:rsidRPr="00634FC6">
        <w:rPr>
          <w:rFonts w:ascii="Times New Roman" w:hAnsi="Times New Roman" w:cs="Times New Roman"/>
          <w:b/>
          <w:bCs/>
          <w:sz w:val="28"/>
          <w:szCs w:val="28"/>
        </w:rPr>
        <w:t xml:space="preserve">IN THE UNITED STATES DISTRICT COURT FOR THE </w:t>
      </w:r>
      <w:r>
        <w:rPr>
          <w:rFonts w:ascii="Times New Roman" w:hAnsi="Times New Roman" w:cs="Times New Roman"/>
          <w:b/>
          <w:bCs/>
          <w:sz w:val="28"/>
          <w:szCs w:val="28"/>
        </w:rPr>
        <w:t>MIDDLE DISTRICT OF LOUISIANA</w:t>
      </w:r>
    </w:p>
    <w:p w14:paraId="3803EBD6" w14:textId="77777777" w:rsidR="004C6018" w:rsidRPr="00634FC6" w:rsidRDefault="004C6018" w:rsidP="004C6018">
      <w:pPr>
        <w:spacing w:after="0" w:line="240" w:lineRule="auto"/>
        <w:rPr>
          <w:rFonts w:ascii="Times New Roman" w:hAnsi="Times New Roman" w:cs="Times New Roman"/>
          <w:b/>
          <w:bCs/>
          <w:sz w:val="24"/>
          <w:szCs w:val="24"/>
        </w:rPr>
      </w:pPr>
      <w:r w:rsidRPr="00634FC6">
        <w:rPr>
          <w:rFonts w:ascii="Times New Roman" w:hAnsi="Times New Roman" w:cs="Times New Roman"/>
          <w:b/>
          <w:bCs/>
          <w:sz w:val="24"/>
          <w:szCs w:val="24"/>
        </w:rPr>
        <w:t>HOWARD BROWN,</w:t>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t>)</w:t>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p>
    <w:p w14:paraId="097B3A1A" w14:textId="77777777" w:rsidR="004C6018" w:rsidRPr="00634FC6" w:rsidRDefault="004C6018" w:rsidP="004C6018">
      <w:pPr>
        <w:spacing w:after="0" w:line="240" w:lineRule="auto"/>
        <w:rPr>
          <w:rFonts w:ascii="Times New Roman" w:hAnsi="Times New Roman" w:cs="Times New Roman"/>
          <w:b/>
          <w:bCs/>
          <w:sz w:val="24"/>
          <w:szCs w:val="24"/>
        </w:rPr>
      </w:pP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t>Plaintiff,</w:t>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t>)</w:t>
      </w:r>
    </w:p>
    <w:p w14:paraId="5770A440" w14:textId="77777777" w:rsidR="004C6018" w:rsidRPr="00634FC6" w:rsidRDefault="004C6018" w:rsidP="004C6018">
      <w:pPr>
        <w:spacing w:after="0" w:line="240" w:lineRule="auto"/>
        <w:rPr>
          <w:rFonts w:ascii="Times New Roman" w:hAnsi="Times New Roman" w:cs="Times New Roman"/>
          <w:b/>
          <w:bCs/>
          <w:sz w:val="24"/>
          <w:szCs w:val="24"/>
        </w:rPr>
      </w:pPr>
      <w:r w:rsidRPr="00634FC6">
        <w:rPr>
          <w:rFonts w:ascii="Times New Roman" w:hAnsi="Times New Roman" w:cs="Times New Roman"/>
          <w:b/>
          <w:bCs/>
          <w:sz w:val="24"/>
          <w:szCs w:val="24"/>
        </w:rPr>
        <w:t>V.</w:t>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t>)</w:t>
      </w:r>
      <w:r w:rsidRPr="00634FC6">
        <w:rPr>
          <w:rFonts w:ascii="Times New Roman" w:hAnsi="Times New Roman" w:cs="Times New Roman"/>
          <w:b/>
          <w:bCs/>
          <w:sz w:val="24"/>
          <w:szCs w:val="24"/>
        </w:rPr>
        <w:tab/>
        <w:t>Case No. 3:22-</w:t>
      </w:r>
      <w:r>
        <w:rPr>
          <w:rFonts w:ascii="Times New Roman" w:hAnsi="Times New Roman" w:cs="Times New Roman"/>
          <w:b/>
          <w:bCs/>
          <w:sz w:val="24"/>
          <w:szCs w:val="24"/>
        </w:rPr>
        <w:t>CV</w:t>
      </w:r>
      <w:r w:rsidRPr="00634FC6">
        <w:rPr>
          <w:rFonts w:ascii="Times New Roman" w:hAnsi="Times New Roman" w:cs="Times New Roman"/>
          <w:b/>
          <w:bCs/>
          <w:sz w:val="24"/>
          <w:szCs w:val="24"/>
        </w:rPr>
        <w:t>-002</w:t>
      </w:r>
      <w:r>
        <w:rPr>
          <w:rFonts w:ascii="Times New Roman" w:hAnsi="Times New Roman" w:cs="Times New Roman"/>
          <w:b/>
          <w:bCs/>
          <w:sz w:val="24"/>
          <w:szCs w:val="24"/>
        </w:rPr>
        <w:t>64</w:t>
      </w:r>
      <w:r w:rsidRPr="00634FC6">
        <w:rPr>
          <w:rFonts w:ascii="Times New Roman" w:hAnsi="Times New Roman" w:cs="Times New Roman"/>
          <w:b/>
          <w:bCs/>
          <w:sz w:val="24"/>
          <w:szCs w:val="24"/>
        </w:rPr>
        <w:t>-</w:t>
      </w:r>
      <w:r>
        <w:rPr>
          <w:rFonts w:ascii="Times New Roman" w:hAnsi="Times New Roman" w:cs="Times New Roman"/>
          <w:b/>
          <w:bCs/>
          <w:sz w:val="24"/>
          <w:szCs w:val="24"/>
        </w:rPr>
        <w:t>SDD</w:t>
      </w:r>
      <w:r w:rsidRPr="00634FC6">
        <w:rPr>
          <w:rFonts w:ascii="Times New Roman" w:hAnsi="Times New Roman" w:cs="Times New Roman"/>
          <w:b/>
          <w:bCs/>
          <w:sz w:val="24"/>
          <w:szCs w:val="24"/>
        </w:rPr>
        <w:t>-</w:t>
      </w:r>
      <w:r>
        <w:rPr>
          <w:rFonts w:ascii="Times New Roman" w:hAnsi="Times New Roman" w:cs="Times New Roman"/>
          <w:b/>
          <w:bCs/>
          <w:sz w:val="24"/>
          <w:szCs w:val="24"/>
        </w:rPr>
        <w:t>RLB</w:t>
      </w:r>
    </w:p>
    <w:p w14:paraId="175A1CEB" w14:textId="77777777" w:rsidR="004C6018" w:rsidRPr="00634FC6" w:rsidRDefault="004C6018" w:rsidP="004C601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CITY OF CENTRAL</w:t>
      </w:r>
      <w:r w:rsidRPr="00634FC6">
        <w:rPr>
          <w:rFonts w:ascii="Times New Roman" w:hAnsi="Times New Roman" w:cs="Times New Roman"/>
          <w:b/>
          <w:bCs/>
          <w:sz w:val="24"/>
          <w:szCs w:val="24"/>
        </w:rPr>
        <w:t>,</w:t>
      </w:r>
      <w:r>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t>)</w:t>
      </w:r>
    </w:p>
    <w:p w14:paraId="77142BE6" w14:textId="77777777" w:rsidR="004C6018" w:rsidRPr="00634FC6" w:rsidRDefault="004C6018" w:rsidP="004C6018">
      <w:pPr>
        <w:spacing w:after="0" w:line="240" w:lineRule="auto"/>
        <w:rPr>
          <w:rFonts w:ascii="Times New Roman" w:hAnsi="Times New Roman" w:cs="Times New Roman"/>
          <w:b/>
          <w:bCs/>
          <w:sz w:val="24"/>
          <w:szCs w:val="24"/>
        </w:rPr>
      </w:pPr>
      <w:r w:rsidRPr="00634FC6">
        <w:rPr>
          <w:rFonts w:ascii="Times New Roman" w:hAnsi="Times New Roman" w:cs="Times New Roman"/>
          <w:b/>
          <w:bCs/>
          <w:sz w:val="24"/>
          <w:szCs w:val="24"/>
        </w:rPr>
        <w:t>ET AL.,</w:t>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t>)</w:t>
      </w:r>
    </w:p>
    <w:p w14:paraId="5BE51029" w14:textId="77777777" w:rsidR="004C6018" w:rsidRDefault="004C6018" w:rsidP="004C6018">
      <w:pPr>
        <w:spacing w:after="0" w:line="240" w:lineRule="auto"/>
        <w:rPr>
          <w:rFonts w:ascii="Times New Roman" w:hAnsi="Times New Roman" w:cs="Times New Roman"/>
          <w:b/>
          <w:bCs/>
          <w:sz w:val="24"/>
          <w:szCs w:val="24"/>
        </w:rPr>
      </w:pP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t>Defendants.</w:t>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t>)</w:t>
      </w:r>
    </w:p>
    <w:p w14:paraId="7DD3F055" w14:textId="77777777" w:rsidR="0039410F" w:rsidRPr="00A269B1" w:rsidRDefault="0039410F" w:rsidP="0039410F">
      <w:pPr>
        <w:spacing w:after="0" w:line="240" w:lineRule="auto"/>
        <w:rPr>
          <w:rFonts w:ascii="Times New Roman" w:hAnsi="Times New Roman" w:cs="Times New Roman"/>
          <w:b/>
          <w:bCs/>
          <w:sz w:val="24"/>
          <w:szCs w:val="24"/>
        </w:rPr>
      </w:pPr>
    </w:p>
    <w:p w14:paraId="53C47633" w14:textId="28E12CB2" w:rsidR="005775E5" w:rsidRDefault="005775E5" w:rsidP="00314820">
      <w:pPr>
        <w:spacing w:line="240" w:lineRule="auto"/>
        <w:jc w:val="center"/>
        <w:rPr>
          <w:rFonts w:ascii="Times New Roman" w:hAnsi="Times New Roman" w:cs="Times New Roman"/>
          <w:b/>
          <w:bCs/>
          <w:sz w:val="28"/>
          <w:szCs w:val="28"/>
          <w:u w:val="single"/>
        </w:rPr>
      </w:pPr>
      <w:r w:rsidRPr="00221A55">
        <w:rPr>
          <w:rFonts w:ascii="Times New Roman" w:hAnsi="Times New Roman" w:cs="Times New Roman"/>
          <w:b/>
          <w:bCs/>
          <w:sz w:val="28"/>
          <w:szCs w:val="28"/>
          <w:u w:val="single"/>
        </w:rPr>
        <w:t>MEMORANDUM IN SUPPORT OF PLAINTIFFS</w:t>
      </w:r>
      <w:r w:rsidR="00FB229B" w:rsidRPr="00221A55">
        <w:rPr>
          <w:rFonts w:ascii="Times New Roman" w:hAnsi="Times New Roman" w:cs="Times New Roman"/>
          <w:b/>
          <w:bCs/>
          <w:sz w:val="28"/>
          <w:szCs w:val="28"/>
          <w:u w:val="single"/>
        </w:rPr>
        <w:t>’</w:t>
      </w:r>
      <w:r w:rsidRPr="00221A55">
        <w:rPr>
          <w:rFonts w:ascii="Times New Roman" w:hAnsi="Times New Roman" w:cs="Times New Roman"/>
          <w:b/>
          <w:bCs/>
          <w:sz w:val="28"/>
          <w:szCs w:val="28"/>
          <w:u w:val="single"/>
        </w:rPr>
        <w:t xml:space="preserve"> MOTION TO STRIKE DEFENDANTS MOTION TO DISMISS</w:t>
      </w:r>
    </w:p>
    <w:p w14:paraId="617C69A0" w14:textId="77777777" w:rsidR="00753B9D" w:rsidRPr="00221A55" w:rsidRDefault="00753B9D" w:rsidP="00314820">
      <w:pPr>
        <w:spacing w:line="240" w:lineRule="auto"/>
        <w:jc w:val="center"/>
        <w:rPr>
          <w:rFonts w:ascii="Times New Roman" w:hAnsi="Times New Roman" w:cs="Times New Roman"/>
          <w:b/>
          <w:bCs/>
          <w:sz w:val="28"/>
          <w:szCs w:val="28"/>
          <w:u w:val="single"/>
        </w:rPr>
      </w:pPr>
    </w:p>
    <w:p w14:paraId="0EB2A985" w14:textId="42015E5E" w:rsidR="00753B9D" w:rsidRPr="008A146D" w:rsidRDefault="00172D53" w:rsidP="00753B9D">
      <w:pPr>
        <w:pStyle w:val="ListParagraph"/>
        <w:numPr>
          <w:ilvl w:val="0"/>
          <w:numId w:val="6"/>
        </w:numPr>
        <w:spacing w:after="0" w:line="480" w:lineRule="auto"/>
        <w:jc w:val="center"/>
        <w:rPr>
          <w:rFonts w:ascii="Times New Roman" w:hAnsi="Times New Roman" w:cs="Times New Roman"/>
          <w:b/>
          <w:bCs/>
          <w:sz w:val="28"/>
          <w:szCs w:val="28"/>
          <w:u w:val="single"/>
        </w:rPr>
      </w:pPr>
      <w:r w:rsidRPr="008A146D">
        <w:rPr>
          <w:rFonts w:ascii="Times New Roman" w:hAnsi="Times New Roman" w:cs="Times New Roman"/>
          <w:b/>
          <w:bCs/>
          <w:sz w:val="28"/>
          <w:szCs w:val="28"/>
          <w:u w:val="single"/>
        </w:rPr>
        <w:t>RULE 12 (B) (6) FAILURE TO STATE A CLAIM</w:t>
      </w:r>
    </w:p>
    <w:p w14:paraId="0B551108" w14:textId="77777777" w:rsidR="007E1E94" w:rsidRPr="007E1E94" w:rsidRDefault="007E1E94" w:rsidP="007E1E94">
      <w:pPr>
        <w:pStyle w:val="ListParagraph"/>
        <w:spacing w:line="240" w:lineRule="auto"/>
        <w:ind w:left="1080"/>
        <w:rPr>
          <w:rFonts w:ascii="Times New Roman" w:hAnsi="Times New Roman" w:cs="Times New Roman"/>
          <w:b/>
          <w:bCs/>
          <w:sz w:val="24"/>
          <w:szCs w:val="24"/>
          <w:u w:val="single"/>
        </w:rPr>
      </w:pPr>
    </w:p>
    <w:p w14:paraId="6F854AA7" w14:textId="64FF84EB" w:rsidR="007E1E94" w:rsidRPr="001540C6" w:rsidRDefault="007E1E94" w:rsidP="007E1E94">
      <w:pPr>
        <w:pStyle w:val="ListParagraph"/>
        <w:numPr>
          <w:ilvl w:val="0"/>
          <w:numId w:val="2"/>
        </w:numPr>
        <w:spacing w:line="480" w:lineRule="auto"/>
        <w:rPr>
          <w:rFonts w:ascii="Times New Roman" w:hAnsi="Times New Roman" w:cs="Times New Roman"/>
          <w:sz w:val="24"/>
          <w:szCs w:val="24"/>
        </w:rPr>
      </w:pPr>
      <w:r w:rsidRPr="001540C6">
        <w:rPr>
          <w:rFonts w:ascii="Times New Roman" w:hAnsi="Times New Roman" w:cs="Times New Roman"/>
          <w:sz w:val="24"/>
          <w:szCs w:val="24"/>
        </w:rPr>
        <w:t xml:space="preserve">By filing the motion to dismiss pursuant to </w:t>
      </w:r>
      <w:r w:rsidRPr="0052638D">
        <w:rPr>
          <w:rFonts w:ascii="Times New Roman" w:hAnsi="Times New Roman" w:cs="Times New Roman"/>
          <w:b/>
          <w:bCs/>
          <w:sz w:val="24"/>
          <w:szCs w:val="24"/>
        </w:rPr>
        <w:t>Rule 12(b)(6)</w:t>
      </w:r>
      <w:r w:rsidRPr="001540C6">
        <w:rPr>
          <w:rFonts w:ascii="Times New Roman" w:hAnsi="Times New Roman" w:cs="Times New Roman"/>
          <w:sz w:val="24"/>
          <w:szCs w:val="24"/>
        </w:rPr>
        <w:t>, the Defendant</w:t>
      </w:r>
      <w:r w:rsidR="00032B96">
        <w:rPr>
          <w:rFonts w:ascii="Times New Roman" w:hAnsi="Times New Roman" w:cs="Times New Roman"/>
          <w:sz w:val="24"/>
          <w:szCs w:val="24"/>
        </w:rPr>
        <w:t>s’</w:t>
      </w:r>
      <w:r w:rsidRPr="001540C6">
        <w:rPr>
          <w:rFonts w:ascii="Times New Roman" w:hAnsi="Times New Roman" w:cs="Times New Roman"/>
          <w:sz w:val="24"/>
          <w:szCs w:val="24"/>
        </w:rPr>
        <w:t xml:space="preserve"> counsel certified that:</w:t>
      </w:r>
    </w:p>
    <w:p w14:paraId="678DE559" w14:textId="77777777" w:rsidR="007E1E94" w:rsidRPr="001540C6" w:rsidRDefault="007E1E94" w:rsidP="000A73CA">
      <w:pPr>
        <w:pStyle w:val="ListParagraph"/>
        <w:numPr>
          <w:ilvl w:val="1"/>
          <w:numId w:val="2"/>
        </w:numPr>
        <w:spacing w:line="480" w:lineRule="auto"/>
        <w:rPr>
          <w:rFonts w:ascii="Times New Roman" w:hAnsi="Times New Roman" w:cs="Times New Roman"/>
          <w:sz w:val="24"/>
          <w:szCs w:val="24"/>
        </w:rPr>
      </w:pPr>
      <w:r w:rsidRPr="001540C6">
        <w:rPr>
          <w:rFonts w:ascii="Times New Roman" w:hAnsi="Times New Roman" w:cs="Times New Roman"/>
          <w:sz w:val="24"/>
          <w:szCs w:val="24"/>
        </w:rPr>
        <w:t xml:space="preserve"> </w:t>
      </w:r>
      <w:r w:rsidRPr="0052638D">
        <w:rPr>
          <w:rFonts w:ascii="Times New Roman" w:hAnsi="Times New Roman" w:cs="Times New Roman"/>
          <w:b/>
          <w:bCs/>
          <w:sz w:val="24"/>
          <w:szCs w:val="24"/>
        </w:rPr>
        <w:t>(1)</w:t>
      </w:r>
      <w:r w:rsidRPr="001540C6">
        <w:rPr>
          <w:rFonts w:ascii="Times New Roman" w:hAnsi="Times New Roman" w:cs="Times New Roman"/>
          <w:sz w:val="24"/>
          <w:szCs w:val="24"/>
        </w:rPr>
        <w:t xml:space="preserve"> [their motion to dismiss] </w:t>
      </w:r>
      <w:r w:rsidRPr="0052638D">
        <w:rPr>
          <w:rFonts w:ascii="Times New Roman" w:hAnsi="Times New Roman" w:cs="Times New Roman"/>
          <w:sz w:val="24"/>
          <w:szCs w:val="24"/>
          <w:u w:val="single"/>
        </w:rPr>
        <w:t>is not being presented for any improper purpose</w:t>
      </w:r>
      <w:r w:rsidRPr="001540C6">
        <w:rPr>
          <w:rFonts w:ascii="Times New Roman" w:hAnsi="Times New Roman" w:cs="Times New Roman"/>
          <w:sz w:val="24"/>
          <w:szCs w:val="24"/>
        </w:rPr>
        <w:t xml:space="preserve">, such as to </w:t>
      </w:r>
      <w:r w:rsidRPr="0052638D">
        <w:rPr>
          <w:rFonts w:ascii="Times New Roman" w:hAnsi="Times New Roman" w:cs="Times New Roman"/>
          <w:sz w:val="24"/>
          <w:szCs w:val="24"/>
          <w:u w:val="single"/>
        </w:rPr>
        <w:t>harass, cause unnecessary delay, or needlessly increase the cost of litigation</w:t>
      </w:r>
      <w:r w:rsidRPr="001540C6">
        <w:rPr>
          <w:rFonts w:ascii="Times New Roman" w:hAnsi="Times New Roman" w:cs="Times New Roman"/>
          <w:sz w:val="24"/>
          <w:szCs w:val="24"/>
        </w:rPr>
        <w:t xml:space="preserve">; </w:t>
      </w:r>
    </w:p>
    <w:p w14:paraId="49A46AC3" w14:textId="77777777" w:rsidR="007E1E94" w:rsidRPr="001540C6" w:rsidRDefault="007E1E94" w:rsidP="000A73CA">
      <w:pPr>
        <w:pStyle w:val="ListParagraph"/>
        <w:numPr>
          <w:ilvl w:val="1"/>
          <w:numId w:val="2"/>
        </w:numPr>
        <w:spacing w:line="480" w:lineRule="auto"/>
        <w:rPr>
          <w:rFonts w:ascii="Times New Roman" w:hAnsi="Times New Roman" w:cs="Times New Roman"/>
          <w:sz w:val="24"/>
          <w:szCs w:val="24"/>
        </w:rPr>
      </w:pPr>
      <w:r w:rsidRPr="0052638D">
        <w:rPr>
          <w:rFonts w:ascii="Times New Roman" w:hAnsi="Times New Roman" w:cs="Times New Roman"/>
          <w:b/>
          <w:bCs/>
          <w:sz w:val="24"/>
          <w:szCs w:val="24"/>
        </w:rPr>
        <w:t>(2)</w:t>
      </w:r>
      <w:r w:rsidRPr="001540C6">
        <w:rPr>
          <w:rFonts w:ascii="Times New Roman" w:hAnsi="Times New Roman" w:cs="Times New Roman"/>
          <w:sz w:val="24"/>
          <w:szCs w:val="24"/>
        </w:rPr>
        <w:t xml:space="preserve"> the defenses, and other legal contentions are </w:t>
      </w:r>
      <w:r w:rsidRPr="0052638D">
        <w:rPr>
          <w:rFonts w:ascii="Times New Roman" w:hAnsi="Times New Roman" w:cs="Times New Roman"/>
          <w:sz w:val="24"/>
          <w:szCs w:val="24"/>
          <w:u w:val="single"/>
        </w:rPr>
        <w:t>warranted by existing law or by a nonfrivolous argument</w:t>
      </w:r>
      <w:r w:rsidRPr="001540C6">
        <w:rPr>
          <w:rFonts w:ascii="Times New Roman" w:hAnsi="Times New Roman" w:cs="Times New Roman"/>
          <w:sz w:val="24"/>
          <w:szCs w:val="24"/>
        </w:rPr>
        <w:t xml:space="preserve"> for extending, modifying, or reversing existing law or for establishing new law; </w:t>
      </w:r>
    </w:p>
    <w:p w14:paraId="43A0961A" w14:textId="7BECBB34" w:rsidR="007E1E94" w:rsidRPr="001540C6" w:rsidRDefault="007E1E94" w:rsidP="000A73CA">
      <w:pPr>
        <w:pStyle w:val="ListParagraph"/>
        <w:numPr>
          <w:ilvl w:val="1"/>
          <w:numId w:val="2"/>
        </w:numPr>
        <w:spacing w:line="480" w:lineRule="auto"/>
        <w:rPr>
          <w:rFonts w:ascii="Times New Roman" w:hAnsi="Times New Roman" w:cs="Times New Roman"/>
          <w:sz w:val="24"/>
          <w:szCs w:val="24"/>
        </w:rPr>
      </w:pPr>
      <w:r w:rsidRPr="0052638D">
        <w:rPr>
          <w:rFonts w:ascii="Times New Roman" w:hAnsi="Times New Roman" w:cs="Times New Roman"/>
          <w:b/>
          <w:bCs/>
          <w:sz w:val="24"/>
          <w:szCs w:val="24"/>
        </w:rPr>
        <w:t>(3)</w:t>
      </w:r>
      <w:r w:rsidRPr="001540C6">
        <w:rPr>
          <w:rFonts w:ascii="Times New Roman" w:hAnsi="Times New Roman" w:cs="Times New Roman"/>
          <w:sz w:val="24"/>
          <w:szCs w:val="24"/>
        </w:rPr>
        <w:t xml:space="preserve"> the factual contentions </w:t>
      </w:r>
      <w:r w:rsidRPr="0052638D">
        <w:rPr>
          <w:rFonts w:ascii="Times New Roman" w:hAnsi="Times New Roman" w:cs="Times New Roman"/>
          <w:sz w:val="24"/>
          <w:szCs w:val="24"/>
          <w:u w:val="single"/>
        </w:rPr>
        <w:t>have evidentiary support</w:t>
      </w:r>
      <w:r w:rsidRPr="001540C6">
        <w:rPr>
          <w:rFonts w:ascii="Times New Roman" w:hAnsi="Times New Roman" w:cs="Times New Roman"/>
          <w:sz w:val="24"/>
          <w:szCs w:val="24"/>
        </w:rPr>
        <w:t xml:space="preserve"> or, if </w:t>
      </w:r>
      <w:r w:rsidR="00032B96" w:rsidRPr="001540C6">
        <w:rPr>
          <w:rFonts w:ascii="Times New Roman" w:hAnsi="Times New Roman" w:cs="Times New Roman"/>
          <w:sz w:val="24"/>
          <w:szCs w:val="24"/>
        </w:rPr>
        <w:t>specifically,</w:t>
      </w:r>
      <w:r w:rsidRPr="001540C6">
        <w:rPr>
          <w:rFonts w:ascii="Times New Roman" w:hAnsi="Times New Roman" w:cs="Times New Roman"/>
          <w:sz w:val="24"/>
          <w:szCs w:val="24"/>
        </w:rPr>
        <w:t xml:space="preserve"> so identified, will likely have evidentiary support after a reasonable opportunity for further investigation or discovery; and </w:t>
      </w:r>
    </w:p>
    <w:p w14:paraId="2CEFC5C5" w14:textId="29D4E927" w:rsidR="007E1E94" w:rsidRPr="000A73CA" w:rsidRDefault="007E1E94" w:rsidP="000A73CA">
      <w:pPr>
        <w:pStyle w:val="ListParagraph"/>
        <w:numPr>
          <w:ilvl w:val="1"/>
          <w:numId w:val="2"/>
        </w:numPr>
        <w:spacing w:line="480" w:lineRule="auto"/>
        <w:rPr>
          <w:rFonts w:ascii="Times New Roman" w:hAnsi="Times New Roman" w:cs="Times New Roman"/>
          <w:sz w:val="24"/>
          <w:szCs w:val="24"/>
        </w:rPr>
      </w:pPr>
      <w:r w:rsidRPr="0052638D">
        <w:rPr>
          <w:rFonts w:ascii="Times New Roman" w:hAnsi="Times New Roman" w:cs="Times New Roman"/>
          <w:b/>
          <w:bCs/>
          <w:sz w:val="24"/>
          <w:szCs w:val="24"/>
        </w:rPr>
        <w:t>(4)</w:t>
      </w:r>
      <w:r w:rsidRPr="001540C6">
        <w:rPr>
          <w:rFonts w:ascii="Times New Roman" w:hAnsi="Times New Roman" w:cs="Times New Roman"/>
          <w:sz w:val="24"/>
          <w:szCs w:val="24"/>
        </w:rPr>
        <w:t xml:space="preserve"> the denials of factual contentions are </w:t>
      </w:r>
      <w:r w:rsidRPr="0052638D">
        <w:rPr>
          <w:rFonts w:ascii="Times New Roman" w:hAnsi="Times New Roman" w:cs="Times New Roman"/>
          <w:sz w:val="24"/>
          <w:szCs w:val="24"/>
          <w:u w:val="single"/>
        </w:rPr>
        <w:t>warranted on the evidence</w:t>
      </w:r>
      <w:r w:rsidRPr="001540C6">
        <w:rPr>
          <w:rFonts w:ascii="Times New Roman" w:hAnsi="Times New Roman" w:cs="Times New Roman"/>
          <w:sz w:val="24"/>
          <w:szCs w:val="24"/>
        </w:rPr>
        <w:t xml:space="preserve"> or, if </w:t>
      </w:r>
      <w:r w:rsidR="00032B96" w:rsidRPr="001540C6">
        <w:rPr>
          <w:rFonts w:ascii="Times New Roman" w:hAnsi="Times New Roman" w:cs="Times New Roman"/>
          <w:sz w:val="24"/>
          <w:szCs w:val="24"/>
        </w:rPr>
        <w:t>specifically,</w:t>
      </w:r>
      <w:r w:rsidRPr="001540C6">
        <w:rPr>
          <w:rFonts w:ascii="Times New Roman" w:hAnsi="Times New Roman" w:cs="Times New Roman"/>
          <w:sz w:val="24"/>
          <w:szCs w:val="24"/>
        </w:rPr>
        <w:t xml:space="preserve"> so identified, are reasonably based on belief or a lack of information.</w:t>
      </w:r>
      <w:r w:rsidR="000A73CA">
        <w:rPr>
          <w:rFonts w:ascii="Times New Roman" w:hAnsi="Times New Roman" w:cs="Times New Roman"/>
          <w:sz w:val="24"/>
          <w:szCs w:val="24"/>
        </w:rPr>
        <w:t xml:space="preserve"> </w:t>
      </w:r>
      <w:r w:rsidRPr="000A73CA">
        <w:rPr>
          <w:rFonts w:ascii="Times New Roman" w:hAnsi="Times New Roman" w:cs="Times New Roman"/>
          <w:sz w:val="24"/>
          <w:szCs w:val="24"/>
        </w:rPr>
        <w:t xml:space="preserve">The overwhelming majority of courts have held that “if dismissal motion also </w:t>
      </w:r>
      <w:r w:rsidRPr="000A73CA">
        <w:rPr>
          <w:rFonts w:ascii="Times New Roman" w:hAnsi="Times New Roman" w:cs="Times New Roman"/>
          <w:sz w:val="24"/>
          <w:szCs w:val="24"/>
        </w:rPr>
        <w:lastRenderedPageBreak/>
        <w:t xml:space="preserve">tenders for consideration </w:t>
      </w:r>
      <w:r w:rsidRPr="000A73CA">
        <w:rPr>
          <w:rFonts w:ascii="Times New Roman" w:hAnsi="Times New Roman" w:cs="Times New Roman"/>
          <w:sz w:val="24"/>
          <w:szCs w:val="24"/>
          <w:u w:val="single"/>
        </w:rPr>
        <w:t>materials outside of pleadings</w:t>
      </w:r>
      <w:r w:rsidRPr="000A73CA">
        <w:rPr>
          <w:rFonts w:ascii="Times New Roman" w:hAnsi="Times New Roman" w:cs="Times New Roman"/>
          <w:sz w:val="24"/>
          <w:szCs w:val="24"/>
        </w:rPr>
        <w:t xml:space="preserve">, summary judgment procedure must be utilized. </w:t>
      </w:r>
      <w:r w:rsidRPr="000A73CA">
        <w:rPr>
          <w:rFonts w:ascii="Times New Roman" w:hAnsi="Times New Roman" w:cs="Times New Roman"/>
          <w:b/>
          <w:bCs/>
          <w:i/>
          <w:iCs/>
          <w:sz w:val="24"/>
          <w:szCs w:val="24"/>
        </w:rPr>
        <w:t>Bray v. Thomas Energy Systems, Inc., 909 P.2d 1191(1995)</w:t>
      </w:r>
      <w:r w:rsidRPr="000A73CA">
        <w:rPr>
          <w:rFonts w:ascii="Times New Roman" w:hAnsi="Times New Roman" w:cs="Times New Roman"/>
          <w:b/>
          <w:bCs/>
          <w:sz w:val="24"/>
          <w:szCs w:val="24"/>
        </w:rPr>
        <w:t>.</w:t>
      </w:r>
    </w:p>
    <w:p w14:paraId="06B02C9C" w14:textId="1EDF13B9" w:rsidR="007E1E94" w:rsidRPr="00032B96" w:rsidRDefault="007E1E94" w:rsidP="00032B96">
      <w:pPr>
        <w:pStyle w:val="ListParagraph"/>
        <w:numPr>
          <w:ilvl w:val="0"/>
          <w:numId w:val="2"/>
        </w:numPr>
        <w:spacing w:line="480" w:lineRule="auto"/>
        <w:rPr>
          <w:rFonts w:ascii="Times New Roman" w:hAnsi="Times New Roman" w:cs="Times New Roman"/>
          <w:sz w:val="24"/>
          <w:szCs w:val="24"/>
        </w:rPr>
      </w:pPr>
      <w:r w:rsidRPr="001540C6">
        <w:rPr>
          <w:rFonts w:ascii="Times New Roman" w:hAnsi="Times New Roman" w:cs="Times New Roman"/>
          <w:sz w:val="24"/>
          <w:szCs w:val="24"/>
        </w:rPr>
        <w:t xml:space="preserve">Since the Defendants are seeking that this action be dismissed under </w:t>
      </w:r>
      <w:r w:rsidRPr="0052638D">
        <w:rPr>
          <w:rFonts w:ascii="Times New Roman" w:hAnsi="Times New Roman" w:cs="Times New Roman"/>
          <w:b/>
          <w:bCs/>
          <w:sz w:val="24"/>
          <w:szCs w:val="24"/>
        </w:rPr>
        <w:t>Rule 12(b)(6)</w:t>
      </w:r>
      <w:r w:rsidRPr="001540C6">
        <w:rPr>
          <w:rFonts w:ascii="Times New Roman" w:hAnsi="Times New Roman" w:cs="Times New Roman"/>
          <w:sz w:val="24"/>
          <w:szCs w:val="24"/>
        </w:rPr>
        <w:t xml:space="preserve">, </w:t>
      </w:r>
      <w:r w:rsidRPr="00032B96">
        <w:rPr>
          <w:rFonts w:ascii="Times New Roman" w:hAnsi="Times New Roman" w:cs="Times New Roman"/>
          <w:b/>
          <w:bCs/>
          <w:sz w:val="24"/>
          <w:szCs w:val="24"/>
        </w:rPr>
        <w:t xml:space="preserve">they </w:t>
      </w:r>
      <w:r w:rsidRPr="00032B96">
        <w:rPr>
          <w:rFonts w:ascii="Times New Roman" w:hAnsi="Times New Roman" w:cs="Times New Roman"/>
          <w:b/>
          <w:bCs/>
          <w:sz w:val="24"/>
          <w:szCs w:val="24"/>
          <w:u w:val="single"/>
        </w:rPr>
        <w:t>MUST</w:t>
      </w:r>
      <w:r w:rsidRPr="00032B96">
        <w:rPr>
          <w:rFonts w:ascii="Times New Roman" w:hAnsi="Times New Roman" w:cs="Times New Roman"/>
          <w:b/>
          <w:bCs/>
          <w:sz w:val="24"/>
          <w:szCs w:val="24"/>
        </w:rPr>
        <w:t xml:space="preserve"> support their contentions of </w:t>
      </w:r>
      <w:r w:rsidRPr="00032B96">
        <w:rPr>
          <w:rFonts w:ascii="Times New Roman" w:hAnsi="Times New Roman" w:cs="Times New Roman"/>
          <w:b/>
          <w:bCs/>
          <w:sz w:val="24"/>
          <w:szCs w:val="24"/>
          <w:u w:val="single"/>
        </w:rPr>
        <w:t>material fact with affidavits, depositions, or</w:t>
      </w:r>
      <w:r w:rsidRPr="00032B96">
        <w:rPr>
          <w:rFonts w:ascii="Times New Roman" w:hAnsi="Times New Roman" w:cs="Times New Roman"/>
          <w:sz w:val="24"/>
          <w:szCs w:val="24"/>
          <w:u w:val="single"/>
        </w:rPr>
        <w:t xml:space="preserve"> answers to interrogatories</w:t>
      </w:r>
      <w:r w:rsidRPr="00032B96">
        <w:rPr>
          <w:rFonts w:ascii="Times New Roman" w:hAnsi="Times New Roman" w:cs="Times New Roman"/>
          <w:sz w:val="24"/>
          <w:szCs w:val="24"/>
        </w:rPr>
        <w:t xml:space="preserve"> in order for this court to even consider this motion, otherwise the motion for summary conclusion </w:t>
      </w:r>
      <w:r w:rsidRPr="00032B96">
        <w:rPr>
          <w:rFonts w:ascii="Times New Roman" w:hAnsi="Times New Roman" w:cs="Times New Roman"/>
          <w:sz w:val="24"/>
          <w:szCs w:val="24"/>
          <w:u w:val="single"/>
        </w:rPr>
        <w:t>cannot be considered</w:t>
      </w:r>
      <w:r w:rsidRPr="00032B96">
        <w:rPr>
          <w:rFonts w:ascii="Times New Roman" w:hAnsi="Times New Roman" w:cs="Times New Roman"/>
          <w:sz w:val="24"/>
          <w:szCs w:val="24"/>
        </w:rPr>
        <w:t xml:space="preserve">. “Unsupported contentions of material fact are not sufficient on motion for summary judgment, but rather, material facts must be </w:t>
      </w:r>
      <w:r w:rsidRPr="00032B96">
        <w:rPr>
          <w:rFonts w:ascii="Times New Roman" w:hAnsi="Times New Roman" w:cs="Times New Roman"/>
          <w:sz w:val="24"/>
          <w:szCs w:val="24"/>
          <w:u w:val="single"/>
        </w:rPr>
        <w:t>supported by affidavits and other testimony and documents</w:t>
      </w:r>
      <w:r w:rsidRPr="00032B96">
        <w:rPr>
          <w:rFonts w:ascii="Times New Roman" w:hAnsi="Times New Roman" w:cs="Times New Roman"/>
          <w:sz w:val="24"/>
          <w:szCs w:val="24"/>
        </w:rPr>
        <w:t xml:space="preserve"> that would be admissible in evidence at trial.” </w:t>
      </w:r>
      <w:r w:rsidRPr="00032B96">
        <w:rPr>
          <w:rFonts w:ascii="Times New Roman" w:hAnsi="Times New Roman" w:cs="Times New Roman"/>
          <w:b/>
          <w:bCs/>
          <w:i/>
          <w:iCs/>
          <w:sz w:val="24"/>
          <w:szCs w:val="24"/>
        </w:rPr>
        <w:t>Cinco Enterprises, Inc. V. Benso, Okla., 890 P.2d 866 (1994).</w:t>
      </w:r>
    </w:p>
    <w:p w14:paraId="2FAC1578" w14:textId="037E8EFC" w:rsidR="007E1E94" w:rsidRPr="0052638D" w:rsidRDefault="007E1E94" w:rsidP="007E1E94">
      <w:pPr>
        <w:pStyle w:val="ListParagraph"/>
        <w:numPr>
          <w:ilvl w:val="0"/>
          <w:numId w:val="2"/>
        </w:numPr>
        <w:spacing w:line="480" w:lineRule="auto"/>
        <w:rPr>
          <w:rFonts w:ascii="Times New Roman" w:hAnsi="Times New Roman" w:cs="Times New Roman"/>
          <w:b/>
          <w:bCs/>
          <w:i/>
          <w:iCs/>
          <w:sz w:val="24"/>
          <w:szCs w:val="24"/>
        </w:rPr>
      </w:pPr>
      <w:r w:rsidRPr="001540C6">
        <w:rPr>
          <w:rFonts w:ascii="Times New Roman" w:hAnsi="Times New Roman" w:cs="Times New Roman"/>
          <w:sz w:val="24"/>
          <w:szCs w:val="24"/>
        </w:rPr>
        <w:t>Defenda</w:t>
      </w:r>
      <w:r>
        <w:rPr>
          <w:rFonts w:ascii="Times New Roman" w:hAnsi="Times New Roman" w:cs="Times New Roman"/>
          <w:sz w:val="24"/>
          <w:szCs w:val="24"/>
        </w:rPr>
        <w:t>nts’</w:t>
      </w:r>
      <w:r w:rsidRPr="001540C6">
        <w:rPr>
          <w:rFonts w:ascii="Times New Roman" w:hAnsi="Times New Roman" w:cs="Times New Roman"/>
          <w:sz w:val="24"/>
          <w:szCs w:val="24"/>
        </w:rPr>
        <w:t xml:space="preserve"> Counsel has </w:t>
      </w:r>
      <w:r w:rsidRPr="0052638D">
        <w:rPr>
          <w:rFonts w:ascii="Times New Roman" w:hAnsi="Times New Roman" w:cs="Times New Roman"/>
          <w:sz w:val="24"/>
          <w:szCs w:val="24"/>
          <w:u w:val="single"/>
        </w:rPr>
        <w:t>failed to meet the minimum requirements</w:t>
      </w:r>
      <w:r w:rsidRPr="001540C6">
        <w:rPr>
          <w:rFonts w:ascii="Times New Roman" w:hAnsi="Times New Roman" w:cs="Times New Roman"/>
          <w:sz w:val="24"/>
          <w:szCs w:val="24"/>
        </w:rPr>
        <w:t xml:space="preserve"> by rule to investigate and inquire about the facts surrounding the Plaintiff</w:t>
      </w:r>
      <w:r w:rsidR="00E80A31">
        <w:rPr>
          <w:rFonts w:ascii="Times New Roman" w:hAnsi="Times New Roman" w:cs="Times New Roman"/>
          <w:sz w:val="24"/>
          <w:szCs w:val="24"/>
        </w:rPr>
        <w:t>’s</w:t>
      </w:r>
      <w:r w:rsidRPr="001540C6">
        <w:rPr>
          <w:rFonts w:ascii="Times New Roman" w:hAnsi="Times New Roman" w:cs="Times New Roman"/>
          <w:sz w:val="24"/>
          <w:szCs w:val="24"/>
        </w:rPr>
        <w:t xml:space="preserve"> Complaint. Defen</w:t>
      </w:r>
      <w:r>
        <w:rPr>
          <w:rFonts w:ascii="Times New Roman" w:hAnsi="Times New Roman" w:cs="Times New Roman"/>
          <w:sz w:val="24"/>
          <w:szCs w:val="24"/>
        </w:rPr>
        <w:t xml:space="preserve">se </w:t>
      </w:r>
      <w:r w:rsidRPr="001540C6">
        <w:rPr>
          <w:rFonts w:ascii="Times New Roman" w:hAnsi="Times New Roman" w:cs="Times New Roman"/>
          <w:sz w:val="24"/>
          <w:szCs w:val="24"/>
        </w:rPr>
        <w:t xml:space="preserve">Counsel has used a </w:t>
      </w:r>
      <w:r>
        <w:rPr>
          <w:rFonts w:ascii="Times New Roman" w:hAnsi="Times New Roman" w:cs="Times New Roman"/>
          <w:sz w:val="24"/>
          <w:szCs w:val="24"/>
        </w:rPr>
        <w:t>‘</w:t>
      </w:r>
      <w:r w:rsidRPr="001540C6">
        <w:rPr>
          <w:rFonts w:ascii="Times New Roman" w:hAnsi="Times New Roman" w:cs="Times New Roman"/>
          <w:sz w:val="24"/>
          <w:szCs w:val="24"/>
        </w:rPr>
        <w:t>copy and paste</w:t>
      </w:r>
      <w:r>
        <w:rPr>
          <w:rFonts w:ascii="Times New Roman" w:hAnsi="Times New Roman" w:cs="Times New Roman"/>
          <w:sz w:val="24"/>
          <w:szCs w:val="24"/>
        </w:rPr>
        <w:t>’</w:t>
      </w:r>
      <w:r w:rsidRPr="001540C6">
        <w:rPr>
          <w:rFonts w:ascii="Times New Roman" w:hAnsi="Times New Roman" w:cs="Times New Roman"/>
          <w:sz w:val="24"/>
          <w:szCs w:val="24"/>
        </w:rPr>
        <w:t xml:space="preserve"> style reply, instead of investigating the law, rules, or facts of the current controversy. Statements of counsel in brief or in argument </w:t>
      </w:r>
      <w:r w:rsidRPr="004F057B">
        <w:rPr>
          <w:rFonts w:ascii="Times New Roman" w:hAnsi="Times New Roman" w:cs="Times New Roman"/>
          <w:sz w:val="24"/>
          <w:szCs w:val="24"/>
          <w:u w:val="single"/>
        </w:rPr>
        <w:t>are not sufficient</w:t>
      </w:r>
      <w:r w:rsidRPr="001540C6">
        <w:rPr>
          <w:rFonts w:ascii="Times New Roman" w:hAnsi="Times New Roman" w:cs="Times New Roman"/>
          <w:sz w:val="24"/>
          <w:szCs w:val="24"/>
        </w:rPr>
        <w:t xml:space="preserve"> for a </w:t>
      </w:r>
      <w:r w:rsidRPr="004F057B">
        <w:rPr>
          <w:rFonts w:ascii="Times New Roman" w:hAnsi="Times New Roman" w:cs="Times New Roman"/>
          <w:sz w:val="24"/>
          <w:szCs w:val="24"/>
          <w:u w:val="single"/>
        </w:rPr>
        <w:t>motion to dismiss</w:t>
      </w:r>
      <w:r w:rsidRPr="001540C6">
        <w:rPr>
          <w:rFonts w:ascii="Times New Roman" w:hAnsi="Times New Roman" w:cs="Times New Roman"/>
          <w:sz w:val="24"/>
          <w:szCs w:val="24"/>
        </w:rPr>
        <w:t xml:space="preserve"> or for summary judgment</w:t>
      </w:r>
      <w:r w:rsidRPr="0052638D">
        <w:rPr>
          <w:rFonts w:ascii="Times New Roman" w:hAnsi="Times New Roman" w:cs="Times New Roman"/>
          <w:b/>
          <w:bCs/>
          <w:sz w:val="24"/>
          <w:szCs w:val="24"/>
        </w:rPr>
        <w:t xml:space="preserve">, </w:t>
      </w:r>
      <w:proofErr w:type="spellStart"/>
      <w:r w:rsidRPr="0052638D">
        <w:rPr>
          <w:rFonts w:ascii="Times New Roman" w:hAnsi="Times New Roman" w:cs="Times New Roman"/>
          <w:b/>
          <w:bCs/>
          <w:i/>
          <w:iCs/>
          <w:sz w:val="24"/>
          <w:szCs w:val="24"/>
        </w:rPr>
        <w:t>Trinsey</w:t>
      </w:r>
      <w:proofErr w:type="spellEnd"/>
      <w:r w:rsidRPr="0052638D">
        <w:rPr>
          <w:rFonts w:ascii="Times New Roman" w:hAnsi="Times New Roman" w:cs="Times New Roman"/>
          <w:b/>
          <w:bCs/>
          <w:i/>
          <w:iCs/>
          <w:sz w:val="24"/>
          <w:szCs w:val="24"/>
        </w:rPr>
        <w:t xml:space="preserve"> v. Pagliaro, D.C. Pa. 1964, 229 F. Supp. 647.</w:t>
      </w:r>
    </w:p>
    <w:p w14:paraId="77C06A4B" w14:textId="21D57C3E" w:rsidR="007E1E94" w:rsidRDefault="007E1E94" w:rsidP="007E1E94">
      <w:pPr>
        <w:pStyle w:val="ListParagraph"/>
        <w:numPr>
          <w:ilvl w:val="0"/>
          <w:numId w:val="2"/>
        </w:numPr>
        <w:spacing w:line="480" w:lineRule="auto"/>
        <w:rPr>
          <w:rFonts w:ascii="Times New Roman" w:hAnsi="Times New Roman" w:cs="Times New Roman"/>
          <w:b/>
          <w:bCs/>
          <w:i/>
          <w:iCs/>
          <w:sz w:val="24"/>
          <w:szCs w:val="24"/>
        </w:rPr>
      </w:pPr>
      <w:r w:rsidRPr="001540C6">
        <w:rPr>
          <w:rFonts w:ascii="Times New Roman" w:hAnsi="Times New Roman" w:cs="Times New Roman"/>
          <w:sz w:val="24"/>
          <w:szCs w:val="24"/>
        </w:rPr>
        <w:t xml:space="preserve">Pro se pleadings, “however </w:t>
      </w:r>
      <w:r w:rsidR="00753B9D" w:rsidRPr="001540C6">
        <w:rPr>
          <w:rFonts w:ascii="Times New Roman" w:hAnsi="Times New Roman" w:cs="Times New Roman"/>
          <w:sz w:val="24"/>
          <w:szCs w:val="24"/>
        </w:rPr>
        <w:t>in</w:t>
      </w:r>
      <w:r w:rsidR="00C8270D">
        <w:rPr>
          <w:rFonts w:ascii="Times New Roman" w:hAnsi="Times New Roman" w:cs="Times New Roman"/>
          <w:sz w:val="24"/>
          <w:szCs w:val="24"/>
        </w:rPr>
        <w:t>-</w:t>
      </w:r>
      <w:r w:rsidR="00753B9D" w:rsidRPr="001540C6">
        <w:rPr>
          <w:rFonts w:ascii="Times New Roman" w:hAnsi="Times New Roman" w:cs="Times New Roman"/>
          <w:sz w:val="24"/>
          <w:szCs w:val="24"/>
        </w:rPr>
        <w:t>artfully</w:t>
      </w:r>
      <w:r w:rsidRPr="001540C6">
        <w:rPr>
          <w:rFonts w:ascii="Times New Roman" w:hAnsi="Times New Roman" w:cs="Times New Roman"/>
          <w:sz w:val="24"/>
          <w:szCs w:val="24"/>
        </w:rPr>
        <w:t xml:space="preserve"> pleaded,” must be held to “less stringent standards than formal pleadings drafted by lawyers</w:t>
      </w:r>
      <w:r w:rsidRPr="001540C6">
        <w:rPr>
          <w:rFonts w:ascii="Times New Roman" w:hAnsi="Times New Roman" w:cs="Times New Roman"/>
          <w:i/>
          <w:iCs/>
          <w:sz w:val="24"/>
          <w:szCs w:val="24"/>
        </w:rPr>
        <w:t xml:space="preserve">.” </w:t>
      </w:r>
      <w:r w:rsidRPr="0052638D">
        <w:rPr>
          <w:rFonts w:ascii="Times New Roman" w:hAnsi="Times New Roman" w:cs="Times New Roman"/>
          <w:b/>
          <w:bCs/>
          <w:i/>
          <w:iCs/>
          <w:sz w:val="24"/>
          <w:szCs w:val="24"/>
        </w:rPr>
        <w:t>Haines v. Kerner, 404 U.S. 519, 520-521 (1972)</w:t>
      </w:r>
      <w:r w:rsidRPr="0052638D">
        <w:rPr>
          <w:rFonts w:ascii="Times New Roman" w:hAnsi="Times New Roman" w:cs="Times New Roman"/>
          <w:b/>
          <w:bCs/>
          <w:sz w:val="24"/>
          <w:szCs w:val="24"/>
        </w:rPr>
        <w:t>.</w:t>
      </w:r>
      <w:r w:rsidRPr="001540C6">
        <w:rPr>
          <w:rFonts w:ascii="Times New Roman" w:hAnsi="Times New Roman" w:cs="Times New Roman"/>
          <w:sz w:val="24"/>
          <w:szCs w:val="24"/>
        </w:rPr>
        <w:t xml:space="preserve">  If the court can reasonably read pleadings to state a valid claim on which the litigant could prevail, it should do so despite failure to cite proper legal authority, confusion of legal theories, poor syntax and sentence construction, or litigant’s </w:t>
      </w:r>
      <w:r w:rsidRPr="001540C6">
        <w:rPr>
          <w:rFonts w:ascii="Times New Roman" w:hAnsi="Times New Roman" w:cs="Times New Roman"/>
          <w:sz w:val="24"/>
          <w:szCs w:val="24"/>
        </w:rPr>
        <w:lastRenderedPageBreak/>
        <w:t xml:space="preserve">unfamiliarity with pleading requirements. </w:t>
      </w:r>
      <w:r w:rsidRPr="0052638D">
        <w:rPr>
          <w:rFonts w:ascii="Times New Roman" w:hAnsi="Times New Roman" w:cs="Times New Roman"/>
          <w:b/>
          <w:bCs/>
          <w:i/>
          <w:iCs/>
          <w:sz w:val="24"/>
          <w:szCs w:val="24"/>
        </w:rPr>
        <w:t>Boag v. MacDougall, 454 U.S. 364 (1982); United States ex rel. Montgomery v. Bierley, 141 F.2d 552, 555 (3d Cir. 1969)</w:t>
      </w:r>
    </w:p>
    <w:p w14:paraId="207AFD4E" w14:textId="3F3C53BF" w:rsidR="0039410F" w:rsidRPr="00221A55" w:rsidRDefault="0039410F" w:rsidP="00C22939">
      <w:pPr>
        <w:rPr>
          <w:rFonts w:ascii="Times New Roman" w:hAnsi="Times New Roman" w:cs="Times New Roman"/>
          <w:sz w:val="28"/>
          <w:szCs w:val="28"/>
        </w:rPr>
      </w:pPr>
    </w:p>
    <w:p w14:paraId="26313DF9" w14:textId="36874371" w:rsidR="0001668D" w:rsidRPr="00347E38" w:rsidRDefault="00347E38" w:rsidP="00347E38">
      <w:pPr>
        <w:pStyle w:val="ListParagraph"/>
        <w:numPr>
          <w:ilvl w:val="0"/>
          <w:numId w:val="6"/>
        </w:numPr>
        <w:spacing w:line="480" w:lineRule="auto"/>
        <w:jc w:val="center"/>
        <w:rPr>
          <w:rFonts w:ascii="Times New Roman" w:hAnsi="Times New Roman" w:cs="Times New Roman"/>
          <w:b/>
          <w:bCs/>
          <w:sz w:val="28"/>
          <w:szCs w:val="28"/>
          <w:u w:val="single"/>
        </w:rPr>
      </w:pPr>
      <w:r w:rsidRPr="00347E38">
        <w:rPr>
          <w:rFonts w:ascii="Times New Roman" w:hAnsi="Times New Roman" w:cs="Times New Roman"/>
          <w:b/>
          <w:bCs/>
          <w:sz w:val="28"/>
          <w:szCs w:val="28"/>
          <w:u w:val="single"/>
        </w:rPr>
        <w:t xml:space="preserve"> </w:t>
      </w:r>
      <w:r w:rsidR="007E1E94" w:rsidRPr="00347E38">
        <w:rPr>
          <w:rFonts w:ascii="Times New Roman" w:hAnsi="Times New Roman" w:cs="Times New Roman"/>
          <w:b/>
          <w:bCs/>
          <w:sz w:val="28"/>
          <w:szCs w:val="28"/>
          <w:u w:val="single"/>
        </w:rPr>
        <w:t>JUDICIAL ESTOPPEL</w:t>
      </w:r>
    </w:p>
    <w:p w14:paraId="75B1CE66" w14:textId="2AE0C223" w:rsidR="00493E9D" w:rsidRPr="00493E9D" w:rsidRDefault="00493E9D" w:rsidP="00BC6F0B">
      <w:pPr>
        <w:pStyle w:val="ListParagraph"/>
        <w:numPr>
          <w:ilvl w:val="0"/>
          <w:numId w:val="10"/>
        </w:numPr>
        <w:spacing w:line="480" w:lineRule="auto"/>
        <w:contextualSpacing w:val="0"/>
        <w:rPr>
          <w:rFonts w:ascii="Times New Roman" w:hAnsi="Times New Roman" w:cs="Times New Roman"/>
          <w:sz w:val="24"/>
          <w:szCs w:val="24"/>
        </w:rPr>
      </w:pPr>
      <w:r w:rsidRPr="00493E9D">
        <w:rPr>
          <w:rFonts w:ascii="Times New Roman" w:hAnsi="Times New Roman" w:cs="Times New Roman"/>
          <w:color w:val="212121"/>
          <w:sz w:val="24"/>
          <w:szCs w:val="24"/>
        </w:rPr>
        <w:t xml:space="preserve">“The policies underlying the doctrine include </w:t>
      </w:r>
      <w:r w:rsidRPr="00293961">
        <w:rPr>
          <w:rFonts w:ascii="Times New Roman" w:hAnsi="Times New Roman" w:cs="Times New Roman"/>
          <w:color w:val="212121"/>
          <w:sz w:val="24"/>
          <w:szCs w:val="24"/>
          <w:u w:val="single"/>
        </w:rPr>
        <w:t>preventing internal inconsistency</w:t>
      </w:r>
      <w:r w:rsidRPr="00493E9D">
        <w:rPr>
          <w:rFonts w:ascii="Times New Roman" w:hAnsi="Times New Roman" w:cs="Times New Roman"/>
          <w:color w:val="212121"/>
          <w:sz w:val="24"/>
          <w:szCs w:val="24"/>
        </w:rPr>
        <w:t xml:space="preserve">, precluding litigants from playing </w:t>
      </w:r>
      <w:r w:rsidRPr="00293961">
        <w:rPr>
          <w:rFonts w:ascii="Times New Roman" w:hAnsi="Times New Roman" w:cs="Times New Roman"/>
          <w:color w:val="212121"/>
          <w:sz w:val="24"/>
          <w:szCs w:val="24"/>
          <w:u w:val="single"/>
        </w:rPr>
        <w:t>fast and loose with the courts</w:t>
      </w:r>
      <w:r w:rsidRPr="00493E9D">
        <w:rPr>
          <w:rFonts w:ascii="Times New Roman" w:hAnsi="Times New Roman" w:cs="Times New Roman"/>
          <w:color w:val="212121"/>
          <w:sz w:val="24"/>
          <w:szCs w:val="24"/>
        </w:rPr>
        <w:t xml:space="preserve">, and </w:t>
      </w:r>
      <w:r w:rsidRPr="00293961">
        <w:rPr>
          <w:rFonts w:ascii="Times New Roman" w:hAnsi="Times New Roman" w:cs="Times New Roman"/>
          <w:color w:val="212121"/>
          <w:sz w:val="24"/>
          <w:szCs w:val="24"/>
          <w:u w:val="single"/>
        </w:rPr>
        <w:t>prohibiting</w:t>
      </w:r>
      <w:r w:rsidRPr="00493E9D">
        <w:rPr>
          <w:rFonts w:ascii="Times New Roman" w:hAnsi="Times New Roman" w:cs="Times New Roman"/>
          <w:color w:val="212121"/>
          <w:sz w:val="24"/>
          <w:szCs w:val="24"/>
        </w:rPr>
        <w:t xml:space="preserve"> parties from deliberately </w:t>
      </w:r>
      <w:r w:rsidRPr="00293961">
        <w:rPr>
          <w:rFonts w:ascii="Times New Roman" w:hAnsi="Times New Roman" w:cs="Times New Roman"/>
          <w:color w:val="212121"/>
          <w:sz w:val="24"/>
          <w:szCs w:val="24"/>
          <w:u w:val="single"/>
        </w:rPr>
        <w:t>changing positions according to the exigencies of the moment</w:t>
      </w:r>
      <w:r w:rsidRPr="00493E9D">
        <w:rPr>
          <w:rFonts w:ascii="Times New Roman" w:hAnsi="Times New Roman" w:cs="Times New Roman"/>
          <w:color w:val="212121"/>
          <w:sz w:val="24"/>
          <w:szCs w:val="24"/>
        </w:rPr>
        <w:t>.” </w:t>
      </w:r>
      <w:hyperlink r:id="rId5" w:anchor="co_pp_sp_506_378" w:history="1">
        <w:r w:rsidRPr="00493E9D">
          <w:rPr>
            <w:rStyle w:val="Emphasis"/>
            <w:rFonts w:ascii="Times New Roman" w:hAnsi="Times New Roman" w:cs="Times New Roman"/>
            <w:color w:val="145DA4"/>
            <w:sz w:val="24"/>
            <w:szCs w:val="24"/>
          </w:rPr>
          <w:t>United States v. McCaskey,</w:t>
        </w:r>
        <w:r w:rsidRPr="00493E9D">
          <w:rPr>
            <w:rStyle w:val="Hyperlink"/>
            <w:rFonts w:ascii="Times New Roman" w:hAnsi="Times New Roman" w:cs="Times New Roman"/>
            <w:color w:val="145DA4"/>
            <w:sz w:val="24"/>
            <w:szCs w:val="24"/>
          </w:rPr>
          <w:t> 9 F.3d 368, 378 (5th Cir.1993)</w:t>
        </w:r>
      </w:hyperlink>
      <w:r w:rsidRPr="00493E9D">
        <w:rPr>
          <w:rFonts w:ascii="Times New Roman" w:hAnsi="Times New Roman" w:cs="Times New Roman"/>
          <w:color w:val="212121"/>
          <w:sz w:val="24"/>
          <w:szCs w:val="24"/>
        </w:rPr>
        <w:t>.</w:t>
      </w:r>
    </w:p>
    <w:p w14:paraId="11C93B95" w14:textId="5ACA8E61" w:rsidR="0039410F" w:rsidRDefault="00493E9D" w:rsidP="00BC6F0B">
      <w:pPr>
        <w:pStyle w:val="ListParagraph"/>
        <w:numPr>
          <w:ilvl w:val="0"/>
          <w:numId w:val="10"/>
        </w:numPr>
        <w:spacing w:line="480" w:lineRule="auto"/>
        <w:contextualSpacing w:val="0"/>
        <w:rPr>
          <w:rFonts w:ascii="Times New Roman" w:hAnsi="Times New Roman" w:cs="Times New Roman"/>
          <w:color w:val="212121"/>
          <w:sz w:val="24"/>
          <w:szCs w:val="24"/>
        </w:rPr>
      </w:pPr>
      <w:r>
        <w:rPr>
          <w:rFonts w:ascii="Times New Roman" w:hAnsi="Times New Roman" w:cs="Times New Roman"/>
          <w:color w:val="212121"/>
          <w:sz w:val="24"/>
          <w:szCs w:val="24"/>
        </w:rPr>
        <w:t xml:space="preserve">Judicial </w:t>
      </w:r>
      <w:r w:rsidR="00F22939" w:rsidRPr="00CB71B7">
        <w:rPr>
          <w:rFonts w:ascii="Times New Roman" w:hAnsi="Times New Roman" w:cs="Times New Roman"/>
          <w:color w:val="212121"/>
          <w:sz w:val="24"/>
          <w:szCs w:val="24"/>
        </w:rPr>
        <w:t>estoppel is a common law doctrine by which a party who has assumed one position in his pleadings may be estopped from assuming an inconsistent position. Generally, the doctrine applies in cases where a party attempts to contradict his own sworn statements in the prior litigation. </w:t>
      </w:r>
      <w:hyperlink r:id="rId6" w:anchor="co_pp_sp_345_1304" w:history="1">
        <w:r w:rsidR="00F22939" w:rsidRPr="00CB71B7">
          <w:rPr>
            <w:rStyle w:val="Emphasis"/>
            <w:rFonts w:ascii="Times New Roman" w:hAnsi="Times New Roman" w:cs="Times New Roman"/>
            <w:color w:val="145DA4"/>
            <w:sz w:val="24"/>
            <w:szCs w:val="24"/>
          </w:rPr>
          <w:t>USLIFE Corp. v. U.S. Life Ins. Co.,</w:t>
        </w:r>
        <w:r w:rsidR="00F22939" w:rsidRPr="00CB71B7">
          <w:rPr>
            <w:rStyle w:val="Hyperlink"/>
            <w:rFonts w:ascii="Times New Roman" w:hAnsi="Times New Roman" w:cs="Times New Roman"/>
            <w:color w:val="145DA4"/>
            <w:sz w:val="24"/>
            <w:szCs w:val="24"/>
          </w:rPr>
          <w:t xml:space="preserve"> 560 </w:t>
        </w:r>
        <w:proofErr w:type="spellStart"/>
        <w:r w:rsidR="00F22939" w:rsidRPr="00CB71B7">
          <w:rPr>
            <w:rStyle w:val="Hyperlink"/>
            <w:rFonts w:ascii="Times New Roman" w:hAnsi="Times New Roman" w:cs="Times New Roman"/>
            <w:color w:val="145DA4"/>
            <w:sz w:val="24"/>
            <w:szCs w:val="24"/>
          </w:rPr>
          <w:t>F.Supp</w:t>
        </w:r>
        <w:proofErr w:type="spellEnd"/>
        <w:r w:rsidR="00F22939" w:rsidRPr="00CB71B7">
          <w:rPr>
            <w:rStyle w:val="Hyperlink"/>
            <w:rFonts w:ascii="Times New Roman" w:hAnsi="Times New Roman" w:cs="Times New Roman"/>
            <w:color w:val="145DA4"/>
            <w:sz w:val="24"/>
            <w:szCs w:val="24"/>
          </w:rPr>
          <w:t>. 1302, 1304–05 (N.D.Tex.1983)</w:t>
        </w:r>
      </w:hyperlink>
      <w:r w:rsidR="00F22939" w:rsidRPr="00CB71B7">
        <w:rPr>
          <w:rFonts w:ascii="Times New Roman" w:hAnsi="Times New Roman" w:cs="Times New Roman"/>
          <w:color w:val="212121"/>
          <w:sz w:val="24"/>
          <w:szCs w:val="24"/>
        </w:rPr>
        <w:t xml:space="preserve">. The purpose of the doctrine is “to prevent parties from ‘playing fast and loose’ with (the courts) to suit the exigencies of </w:t>
      </w:r>
      <w:proofErr w:type="spellStart"/>
      <w:r w:rsidR="00F22939" w:rsidRPr="00CB71B7">
        <w:rPr>
          <w:rFonts w:ascii="Times New Roman" w:hAnsi="Times New Roman" w:cs="Times New Roman"/>
          <w:color w:val="212121"/>
          <w:sz w:val="24"/>
          <w:szCs w:val="24"/>
        </w:rPr>
        <w:t>self interest</w:t>
      </w:r>
      <w:proofErr w:type="spellEnd"/>
      <w:r w:rsidR="00F22939" w:rsidRPr="00CB71B7">
        <w:rPr>
          <w:rFonts w:ascii="Times New Roman" w:hAnsi="Times New Roman" w:cs="Times New Roman"/>
          <w:color w:val="212121"/>
          <w:sz w:val="24"/>
          <w:szCs w:val="24"/>
        </w:rPr>
        <w:t>.” </w:t>
      </w:r>
      <w:hyperlink r:id="rId7" w:history="1">
        <w:r w:rsidR="00F22939" w:rsidRPr="00CB71B7">
          <w:rPr>
            <w:rStyle w:val="Emphasis"/>
            <w:rFonts w:ascii="Times New Roman" w:hAnsi="Times New Roman" w:cs="Times New Roman"/>
            <w:color w:val="145DA4"/>
            <w:sz w:val="24"/>
            <w:szCs w:val="24"/>
          </w:rPr>
          <w:t>Id.</w:t>
        </w:r>
        <w:r w:rsidR="00F22939" w:rsidRPr="00CB71B7">
          <w:rPr>
            <w:rStyle w:val="Hyperlink"/>
            <w:rFonts w:ascii="Times New Roman" w:hAnsi="Times New Roman" w:cs="Times New Roman"/>
            <w:color w:val="145DA4"/>
            <w:sz w:val="24"/>
            <w:szCs w:val="24"/>
          </w:rPr>
          <w:t> at 1305</w:t>
        </w:r>
      </w:hyperlink>
      <w:r w:rsidR="00F22939" w:rsidRPr="00CB71B7">
        <w:rPr>
          <w:rFonts w:ascii="Times New Roman" w:hAnsi="Times New Roman" w:cs="Times New Roman"/>
          <w:color w:val="212121"/>
          <w:sz w:val="24"/>
          <w:szCs w:val="24"/>
        </w:rPr>
        <w:t> (citing </w:t>
      </w:r>
      <w:hyperlink r:id="rId8" w:anchor="co_pp_sp_350_513" w:history="1">
        <w:r w:rsidR="00F22939" w:rsidRPr="00CB71B7">
          <w:rPr>
            <w:rStyle w:val="Emphasis"/>
            <w:rFonts w:ascii="Times New Roman" w:hAnsi="Times New Roman" w:cs="Times New Roman"/>
            <w:color w:val="145DA4"/>
            <w:sz w:val="24"/>
            <w:szCs w:val="24"/>
          </w:rPr>
          <w:t>Scarano v. Central Ry. Co. of New Jersey,</w:t>
        </w:r>
        <w:r w:rsidR="00F22939" w:rsidRPr="00CB71B7">
          <w:rPr>
            <w:rStyle w:val="Hyperlink"/>
            <w:rFonts w:ascii="Times New Roman" w:hAnsi="Times New Roman" w:cs="Times New Roman"/>
            <w:color w:val="145DA4"/>
            <w:sz w:val="24"/>
            <w:szCs w:val="24"/>
          </w:rPr>
          <w:t> 203 F.2d 510, 513 (3d Cir.1953)</w:t>
        </w:r>
      </w:hyperlink>
      <w:r w:rsidR="00F22939" w:rsidRPr="00CB71B7">
        <w:rPr>
          <w:rFonts w:ascii="Times New Roman" w:hAnsi="Times New Roman" w:cs="Times New Roman"/>
          <w:color w:val="212121"/>
          <w:sz w:val="24"/>
          <w:szCs w:val="24"/>
        </w:rPr>
        <w:t>).</w:t>
      </w:r>
      <w:r>
        <w:rPr>
          <w:rFonts w:ascii="Times New Roman" w:hAnsi="Times New Roman" w:cs="Times New Roman"/>
          <w:color w:val="212121"/>
          <w:sz w:val="24"/>
          <w:szCs w:val="24"/>
        </w:rPr>
        <w:t xml:space="preserve"> </w:t>
      </w:r>
    </w:p>
    <w:p w14:paraId="27C4F3E6" w14:textId="77777777" w:rsidR="00D203F4" w:rsidRDefault="00D203F4" w:rsidP="00D203F4">
      <w:pPr>
        <w:pStyle w:val="ListParagraph"/>
        <w:spacing w:line="480" w:lineRule="auto"/>
        <w:contextualSpacing w:val="0"/>
        <w:rPr>
          <w:rFonts w:ascii="Times New Roman" w:hAnsi="Times New Roman" w:cs="Times New Roman"/>
          <w:color w:val="212121"/>
          <w:sz w:val="24"/>
          <w:szCs w:val="24"/>
        </w:rPr>
      </w:pPr>
    </w:p>
    <w:p w14:paraId="60D2892A" w14:textId="66F94952" w:rsidR="004B5E52" w:rsidRPr="00D203F4" w:rsidRDefault="00A57BD9" w:rsidP="00D203F4">
      <w:pPr>
        <w:pStyle w:val="ListParagraph"/>
        <w:numPr>
          <w:ilvl w:val="0"/>
          <w:numId w:val="6"/>
        </w:numPr>
        <w:spacing w:after="0" w:line="48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STATUTE OF LIMITATIONS</w:t>
      </w:r>
    </w:p>
    <w:p w14:paraId="281338BB" w14:textId="4DE0E8BD" w:rsidR="008C1420" w:rsidRPr="008C1420" w:rsidRDefault="008C1420" w:rsidP="008C1420">
      <w:pPr>
        <w:pStyle w:val="ListParagraph"/>
        <w:numPr>
          <w:ilvl w:val="0"/>
          <w:numId w:val="7"/>
        </w:numPr>
        <w:spacing w:after="0" w:line="480" w:lineRule="auto"/>
        <w:rPr>
          <w:rFonts w:ascii="Times New Roman" w:hAnsi="Times New Roman" w:cs="Times New Roman"/>
          <w:sz w:val="24"/>
          <w:szCs w:val="24"/>
        </w:rPr>
      </w:pPr>
      <w:r w:rsidRPr="008C1420">
        <w:rPr>
          <w:rFonts w:ascii="Times New Roman" w:hAnsi="Times New Roman" w:cs="Times New Roman"/>
          <w:sz w:val="24"/>
          <w:szCs w:val="24"/>
        </w:rPr>
        <w:t>We determine the accrual date of a </w:t>
      </w:r>
      <w:hyperlink r:id="rId9" w:history="1">
        <w:r w:rsidRPr="008C1420">
          <w:rPr>
            <w:rStyle w:val="Hyperlink"/>
            <w:rFonts w:ascii="Times New Roman" w:hAnsi="Times New Roman" w:cs="Times New Roman"/>
            <w:sz w:val="24"/>
            <w:szCs w:val="24"/>
          </w:rPr>
          <w:t>§ 1983</w:t>
        </w:r>
      </w:hyperlink>
      <w:r w:rsidRPr="008C1420">
        <w:rPr>
          <w:rFonts w:ascii="Times New Roman" w:hAnsi="Times New Roman" w:cs="Times New Roman"/>
          <w:sz w:val="24"/>
          <w:szCs w:val="24"/>
        </w:rPr>
        <w:t> action by reference to federal law. </w:t>
      </w:r>
      <w:hyperlink r:id="rId10" w:anchor="co_pp_sp_708_1095" w:history="1">
        <w:r w:rsidRPr="008C1420">
          <w:rPr>
            <w:rStyle w:val="Hyperlink"/>
            <w:rFonts w:ascii="Times New Roman" w:hAnsi="Times New Roman" w:cs="Times New Roman"/>
            <w:i/>
            <w:iCs/>
            <w:sz w:val="24"/>
            <w:szCs w:val="24"/>
          </w:rPr>
          <w:t>Wallace v. Kato,</w:t>
        </w:r>
        <w:r w:rsidRPr="008C1420">
          <w:rPr>
            <w:rStyle w:val="Hyperlink"/>
            <w:rFonts w:ascii="Times New Roman" w:hAnsi="Times New Roman" w:cs="Times New Roman"/>
            <w:sz w:val="24"/>
            <w:szCs w:val="24"/>
          </w:rPr>
          <w:t xml:space="preserve"> 549 U.S. 384, 127 </w:t>
        </w:r>
        <w:proofErr w:type="spellStart"/>
        <w:r w:rsidRPr="008C1420">
          <w:rPr>
            <w:rStyle w:val="Hyperlink"/>
            <w:rFonts w:ascii="Times New Roman" w:hAnsi="Times New Roman" w:cs="Times New Roman"/>
            <w:sz w:val="24"/>
            <w:szCs w:val="24"/>
          </w:rPr>
          <w:t>S.Ct</w:t>
        </w:r>
        <w:proofErr w:type="spellEnd"/>
        <w:r w:rsidRPr="008C1420">
          <w:rPr>
            <w:rStyle w:val="Hyperlink"/>
            <w:rFonts w:ascii="Times New Roman" w:hAnsi="Times New Roman" w:cs="Times New Roman"/>
            <w:sz w:val="24"/>
            <w:szCs w:val="24"/>
          </w:rPr>
          <w:t>. 1091, 1095, 166 L.Ed.2d 973 (2007)</w:t>
        </w:r>
      </w:hyperlink>
      <w:r w:rsidRPr="008C1420">
        <w:rPr>
          <w:rFonts w:ascii="Times New Roman" w:hAnsi="Times New Roman" w:cs="Times New Roman"/>
          <w:sz w:val="24"/>
          <w:szCs w:val="24"/>
        </w:rPr>
        <w:t xml:space="preserve">. Federal law holds generally that an action accrues when a plaintiff has </w:t>
      </w:r>
      <w:proofErr w:type="gramStart"/>
      <w:r w:rsidRPr="008C1420">
        <w:rPr>
          <w:rFonts w:ascii="Times New Roman" w:hAnsi="Times New Roman" w:cs="Times New Roman"/>
          <w:sz w:val="24"/>
          <w:szCs w:val="24"/>
        </w:rPr>
        <w:t>“ ‘</w:t>
      </w:r>
      <w:proofErr w:type="gramEnd"/>
      <w:r w:rsidRPr="008C1420">
        <w:rPr>
          <w:rFonts w:ascii="Times New Roman" w:hAnsi="Times New Roman" w:cs="Times New Roman"/>
          <w:sz w:val="24"/>
          <w:szCs w:val="24"/>
        </w:rPr>
        <w:t xml:space="preserve">a </w:t>
      </w:r>
      <w:r w:rsidRPr="00D203F4">
        <w:rPr>
          <w:rFonts w:ascii="Times New Roman" w:hAnsi="Times New Roman" w:cs="Times New Roman"/>
          <w:sz w:val="24"/>
          <w:szCs w:val="24"/>
          <w:u w:val="single"/>
        </w:rPr>
        <w:t>complete and present cause of action</w:t>
      </w:r>
      <w:r w:rsidRPr="008C1420">
        <w:rPr>
          <w:rFonts w:ascii="Times New Roman" w:hAnsi="Times New Roman" w:cs="Times New Roman"/>
          <w:sz w:val="24"/>
          <w:szCs w:val="24"/>
        </w:rPr>
        <w:t>,’ ” or, expressed differently, “</w:t>
      </w:r>
      <w:r w:rsidRPr="00D203F4">
        <w:rPr>
          <w:rFonts w:ascii="Times New Roman" w:hAnsi="Times New Roman" w:cs="Times New Roman"/>
          <w:b/>
          <w:bCs/>
          <w:sz w:val="24"/>
          <w:szCs w:val="24"/>
        </w:rPr>
        <w:t>when ‘the plaintiff can file suit and obtain relief</w:t>
      </w:r>
      <w:r w:rsidRPr="008C1420">
        <w:rPr>
          <w:rFonts w:ascii="Times New Roman" w:hAnsi="Times New Roman" w:cs="Times New Roman"/>
          <w:sz w:val="24"/>
          <w:szCs w:val="24"/>
        </w:rPr>
        <w:t xml:space="preserve">.’ </w:t>
      </w:r>
      <w:r w:rsidRPr="008C1420">
        <w:rPr>
          <w:rFonts w:ascii="Times New Roman" w:hAnsi="Times New Roman" w:cs="Times New Roman"/>
          <w:sz w:val="24"/>
          <w:szCs w:val="24"/>
        </w:rPr>
        <w:lastRenderedPageBreak/>
        <w:t>” </w:t>
      </w:r>
      <w:r w:rsidRPr="008C1420">
        <w:rPr>
          <w:rFonts w:ascii="Times New Roman" w:hAnsi="Times New Roman" w:cs="Times New Roman"/>
          <w:i/>
          <w:iCs/>
          <w:sz w:val="24"/>
          <w:szCs w:val="24"/>
        </w:rPr>
        <w:t>Id.</w:t>
      </w:r>
      <w:r w:rsidRPr="008C1420">
        <w:rPr>
          <w:rFonts w:ascii="Times New Roman" w:hAnsi="Times New Roman" w:cs="Times New Roman"/>
          <w:sz w:val="24"/>
          <w:szCs w:val="24"/>
        </w:rPr>
        <w:t> (quoting </w:t>
      </w:r>
      <w:hyperlink r:id="rId11" w:history="1">
        <w:r w:rsidRPr="008C1420">
          <w:rPr>
            <w:rStyle w:val="Hyperlink"/>
            <w:rFonts w:ascii="Times New Roman" w:hAnsi="Times New Roman" w:cs="Times New Roman"/>
            <w:i/>
            <w:iCs/>
            <w:sz w:val="24"/>
            <w:szCs w:val="24"/>
          </w:rPr>
          <w:t xml:space="preserve">Bay Area Laundry and Dry Cleaning Pension Trust Fund v. </w:t>
        </w:r>
        <w:proofErr w:type="spellStart"/>
        <w:r w:rsidRPr="008C1420">
          <w:rPr>
            <w:rStyle w:val="Hyperlink"/>
            <w:rFonts w:ascii="Times New Roman" w:hAnsi="Times New Roman" w:cs="Times New Roman"/>
            <w:i/>
            <w:iCs/>
            <w:sz w:val="24"/>
            <w:szCs w:val="24"/>
          </w:rPr>
          <w:t>Ferbar</w:t>
        </w:r>
        <w:proofErr w:type="spellEnd"/>
        <w:r w:rsidRPr="008C1420">
          <w:rPr>
            <w:rStyle w:val="Hyperlink"/>
            <w:rFonts w:ascii="Times New Roman" w:hAnsi="Times New Roman" w:cs="Times New Roman"/>
            <w:i/>
            <w:iCs/>
            <w:sz w:val="24"/>
            <w:szCs w:val="24"/>
          </w:rPr>
          <w:t xml:space="preserve"> Corp. of Cal.,</w:t>
        </w:r>
        <w:r w:rsidRPr="008C1420">
          <w:rPr>
            <w:rStyle w:val="Hyperlink"/>
            <w:rFonts w:ascii="Times New Roman" w:hAnsi="Times New Roman" w:cs="Times New Roman"/>
            <w:sz w:val="24"/>
            <w:szCs w:val="24"/>
          </w:rPr>
          <w:t xml:space="preserve"> 522 U.S. 192, 201, 118 </w:t>
        </w:r>
        <w:proofErr w:type="spellStart"/>
        <w:r w:rsidRPr="008C1420">
          <w:rPr>
            <w:rStyle w:val="Hyperlink"/>
            <w:rFonts w:ascii="Times New Roman" w:hAnsi="Times New Roman" w:cs="Times New Roman"/>
            <w:sz w:val="24"/>
            <w:szCs w:val="24"/>
          </w:rPr>
          <w:t>S.Ct</w:t>
        </w:r>
        <w:proofErr w:type="spellEnd"/>
        <w:r w:rsidRPr="008C1420">
          <w:rPr>
            <w:rStyle w:val="Hyperlink"/>
            <w:rFonts w:ascii="Times New Roman" w:hAnsi="Times New Roman" w:cs="Times New Roman"/>
            <w:sz w:val="24"/>
            <w:szCs w:val="24"/>
          </w:rPr>
          <w:t>. 542, 139 L.Ed.2d 553 (1997)</w:t>
        </w:r>
      </w:hyperlink>
      <w:r w:rsidRPr="008C1420">
        <w:rPr>
          <w:rFonts w:ascii="Times New Roman" w:hAnsi="Times New Roman" w:cs="Times New Roman"/>
          <w:sz w:val="24"/>
          <w:szCs w:val="24"/>
        </w:rPr>
        <w:t xml:space="preserve"> (citations omitted)). </w:t>
      </w:r>
    </w:p>
    <w:p w14:paraId="751505D2" w14:textId="374CE2C6" w:rsidR="004B5E52" w:rsidRPr="008C1420" w:rsidRDefault="001A2164" w:rsidP="008C1420">
      <w:pPr>
        <w:pStyle w:val="ListParagraph"/>
        <w:numPr>
          <w:ilvl w:val="0"/>
          <w:numId w:val="7"/>
        </w:numPr>
        <w:spacing w:after="0" w:line="480" w:lineRule="auto"/>
        <w:rPr>
          <w:rFonts w:ascii="Times New Roman" w:hAnsi="Times New Roman" w:cs="Times New Roman"/>
          <w:sz w:val="24"/>
          <w:szCs w:val="24"/>
        </w:rPr>
      </w:pPr>
      <w:r w:rsidRPr="00AF0226">
        <w:rPr>
          <w:rFonts w:ascii="Times New Roman" w:hAnsi="Times New Roman" w:cs="Times New Roman"/>
          <w:sz w:val="24"/>
          <w:szCs w:val="24"/>
          <w:u w:val="single"/>
        </w:rPr>
        <w:t>Fraud occurs</w:t>
      </w:r>
      <w:r w:rsidRPr="001A2164">
        <w:rPr>
          <w:rFonts w:ascii="Times New Roman" w:hAnsi="Times New Roman" w:cs="Times New Roman"/>
          <w:sz w:val="24"/>
          <w:szCs w:val="24"/>
        </w:rPr>
        <w:t xml:space="preserve"> when all of the following elements are met: </w:t>
      </w:r>
      <w:r w:rsidRPr="004C2ACE">
        <w:rPr>
          <w:rFonts w:ascii="Times New Roman" w:hAnsi="Times New Roman" w:cs="Times New Roman"/>
          <w:b/>
          <w:bCs/>
          <w:sz w:val="24"/>
          <w:szCs w:val="24"/>
        </w:rPr>
        <w:t>(1)</w:t>
      </w:r>
      <w:r w:rsidRPr="001A2164">
        <w:rPr>
          <w:rFonts w:ascii="Times New Roman" w:hAnsi="Times New Roman" w:cs="Times New Roman"/>
          <w:sz w:val="24"/>
          <w:szCs w:val="24"/>
        </w:rPr>
        <w:t xml:space="preserve"> a false representation was made as a statement of fact; </w:t>
      </w:r>
      <w:r w:rsidRPr="004C2ACE">
        <w:rPr>
          <w:rFonts w:ascii="Times New Roman" w:hAnsi="Times New Roman" w:cs="Times New Roman"/>
          <w:b/>
          <w:bCs/>
          <w:sz w:val="24"/>
          <w:szCs w:val="24"/>
        </w:rPr>
        <w:t>(2)</w:t>
      </w:r>
      <w:r w:rsidRPr="001A2164">
        <w:rPr>
          <w:rFonts w:ascii="Times New Roman" w:hAnsi="Times New Roman" w:cs="Times New Roman"/>
          <w:sz w:val="24"/>
          <w:szCs w:val="24"/>
        </w:rPr>
        <w:t xml:space="preserve"> the statement was untrue and known to be untrue by the party making it; </w:t>
      </w:r>
      <w:r w:rsidRPr="004C2ACE">
        <w:rPr>
          <w:rFonts w:ascii="Times New Roman" w:hAnsi="Times New Roman" w:cs="Times New Roman"/>
          <w:b/>
          <w:bCs/>
          <w:sz w:val="24"/>
          <w:szCs w:val="24"/>
        </w:rPr>
        <w:t>(3)</w:t>
      </w:r>
      <w:r w:rsidRPr="001A2164">
        <w:rPr>
          <w:rFonts w:ascii="Times New Roman" w:hAnsi="Times New Roman" w:cs="Times New Roman"/>
          <w:sz w:val="24"/>
          <w:szCs w:val="24"/>
        </w:rPr>
        <w:t xml:space="preserve"> the statement was made to induce the other party to act on it; and </w:t>
      </w:r>
      <w:r w:rsidRPr="004C2ACE">
        <w:rPr>
          <w:rFonts w:ascii="Times New Roman" w:hAnsi="Times New Roman" w:cs="Times New Roman"/>
          <w:b/>
          <w:bCs/>
          <w:sz w:val="24"/>
          <w:szCs w:val="24"/>
        </w:rPr>
        <w:t>(4)</w:t>
      </w:r>
      <w:r w:rsidRPr="001A2164">
        <w:rPr>
          <w:rFonts w:ascii="Times New Roman" w:hAnsi="Times New Roman" w:cs="Times New Roman"/>
          <w:sz w:val="24"/>
          <w:szCs w:val="24"/>
        </w:rPr>
        <w:t xml:space="preserve"> the other party has acted on it to his injury.</w:t>
      </w:r>
    </w:p>
    <w:p w14:paraId="45CEA04A" w14:textId="295BD145" w:rsidR="004B5E52" w:rsidRPr="001A2164" w:rsidRDefault="004B5E52" w:rsidP="001A2164">
      <w:pPr>
        <w:pStyle w:val="ListParagraph"/>
        <w:numPr>
          <w:ilvl w:val="0"/>
          <w:numId w:val="7"/>
        </w:numPr>
        <w:spacing w:after="0" w:line="480" w:lineRule="auto"/>
        <w:rPr>
          <w:rFonts w:ascii="Times New Roman" w:hAnsi="Times New Roman" w:cs="Times New Roman"/>
          <w:sz w:val="24"/>
          <w:szCs w:val="24"/>
        </w:rPr>
      </w:pPr>
      <w:r w:rsidRPr="001A2164">
        <w:rPr>
          <w:rFonts w:ascii="Times New Roman" w:hAnsi="Times New Roman" w:cs="Times New Roman"/>
          <w:sz w:val="24"/>
          <w:szCs w:val="24"/>
        </w:rPr>
        <w:t>Even stronger evidence that “actual </w:t>
      </w:r>
      <w:r w:rsidRPr="001A2164">
        <w:rPr>
          <w:rFonts w:ascii="Times New Roman" w:hAnsi="Times New Roman" w:cs="Times New Roman"/>
          <w:b/>
          <w:bCs/>
          <w:sz w:val="24"/>
          <w:szCs w:val="24"/>
        </w:rPr>
        <w:t>fraud</w:t>
      </w:r>
      <w:r w:rsidRPr="001A2164">
        <w:rPr>
          <w:rFonts w:ascii="Times New Roman" w:hAnsi="Times New Roman" w:cs="Times New Roman"/>
          <w:sz w:val="24"/>
          <w:szCs w:val="24"/>
        </w:rPr>
        <w:t>” encompasses the kind of conduct alleged to have occurred here is found in the phrase's historical meaning. At common law, “actual </w:t>
      </w:r>
      <w:r w:rsidRPr="001A2164">
        <w:rPr>
          <w:rFonts w:ascii="Times New Roman" w:hAnsi="Times New Roman" w:cs="Times New Roman"/>
          <w:b/>
          <w:bCs/>
          <w:sz w:val="24"/>
          <w:szCs w:val="24"/>
        </w:rPr>
        <w:t>fraud</w:t>
      </w:r>
      <w:r w:rsidRPr="001A2164">
        <w:rPr>
          <w:rFonts w:ascii="Times New Roman" w:hAnsi="Times New Roman" w:cs="Times New Roman"/>
          <w:sz w:val="24"/>
          <w:szCs w:val="24"/>
        </w:rPr>
        <w:t>” meant </w:t>
      </w:r>
      <w:r w:rsidRPr="001A2164">
        <w:rPr>
          <w:rFonts w:ascii="Times New Roman" w:hAnsi="Times New Roman" w:cs="Times New Roman"/>
          <w:b/>
          <w:bCs/>
          <w:sz w:val="24"/>
          <w:szCs w:val="24"/>
        </w:rPr>
        <w:t>fraud</w:t>
      </w:r>
      <w:r w:rsidRPr="001A2164">
        <w:rPr>
          <w:rFonts w:ascii="Times New Roman" w:hAnsi="Times New Roman" w:cs="Times New Roman"/>
          <w:sz w:val="24"/>
          <w:szCs w:val="24"/>
        </w:rPr>
        <w:t> committed with wrongful intent, </w:t>
      </w:r>
      <w:hyperlink r:id="rId12" w:anchor="co_pp_sp_780_709" w:history="1">
        <w:r w:rsidRPr="001A2164">
          <w:rPr>
            <w:rStyle w:val="Hyperlink"/>
            <w:rFonts w:ascii="Times New Roman" w:hAnsi="Times New Roman" w:cs="Times New Roman"/>
            <w:i/>
            <w:iCs/>
            <w:sz w:val="24"/>
            <w:szCs w:val="24"/>
          </w:rPr>
          <w:t>Neal v. Clark,</w:t>
        </w:r>
        <w:r w:rsidRPr="001A2164">
          <w:rPr>
            <w:rStyle w:val="Hyperlink"/>
            <w:rFonts w:ascii="Times New Roman" w:hAnsi="Times New Roman" w:cs="Times New Roman"/>
            <w:sz w:val="24"/>
            <w:szCs w:val="24"/>
          </w:rPr>
          <w:t xml:space="preserve"> 95 U.S. 704, 709, 24 </w:t>
        </w:r>
        <w:proofErr w:type="spellStart"/>
        <w:r w:rsidRPr="001A2164">
          <w:rPr>
            <w:rStyle w:val="Hyperlink"/>
            <w:rFonts w:ascii="Times New Roman" w:hAnsi="Times New Roman" w:cs="Times New Roman"/>
            <w:sz w:val="24"/>
            <w:szCs w:val="24"/>
          </w:rPr>
          <w:t>L.Ed</w:t>
        </w:r>
        <w:proofErr w:type="spellEnd"/>
        <w:r w:rsidRPr="001A2164">
          <w:rPr>
            <w:rStyle w:val="Hyperlink"/>
            <w:rFonts w:ascii="Times New Roman" w:hAnsi="Times New Roman" w:cs="Times New Roman"/>
            <w:sz w:val="24"/>
            <w:szCs w:val="24"/>
          </w:rPr>
          <w:t>. 586</w:t>
        </w:r>
      </w:hyperlink>
      <w:r w:rsidRPr="001A2164">
        <w:rPr>
          <w:rFonts w:ascii="Times New Roman" w:hAnsi="Times New Roman" w:cs="Times New Roman"/>
          <w:sz w:val="24"/>
          <w:szCs w:val="24"/>
        </w:rPr>
        <w:t>.</w:t>
      </w:r>
    </w:p>
    <w:p w14:paraId="250C5FFE" w14:textId="72645379" w:rsidR="004B5E52" w:rsidRPr="008C1420" w:rsidRDefault="008C1420" w:rsidP="00BC6F0B">
      <w:pPr>
        <w:pStyle w:val="ListParagraph"/>
        <w:numPr>
          <w:ilvl w:val="0"/>
          <w:numId w:val="7"/>
        </w:numPr>
        <w:spacing w:after="0" w:line="480" w:lineRule="auto"/>
        <w:rPr>
          <w:rFonts w:ascii="Times New Roman" w:hAnsi="Times New Roman" w:cs="Times New Roman"/>
          <w:sz w:val="24"/>
          <w:szCs w:val="24"/>
        </w:rPr>
      </w:pPr>
      <w:r w:rsidRPr="008C1420">
        <w:rPr>
          <w:rFonts w:ascii="Times New Roman" w:hAnsi="Times New Roman" w:cs="Times New Roman"/>
          <w:sz w:val="24"/>
          <w:szCs w:val="24"/>
        </w:rPr>
        <w:t xml:space="preserve">Under Louisiana law, the exact time at which prescription begins to run pursuant to the equitable doctrine of contra non </w:t>
      </w:r>
      <w:proofErr w:type="spellStart"/>
      <w:r w:rsidRPr="008C1420">
        <w:rPr>
          <w:rFonts w:ascii="Times New Roman" w:hAnsi="Times New Roman" w:cs="Times New Roman"/>
          <w:sz w:val="24"/>
          <w:szCs w:val="24"/>
        </w:rPr>
        <w:t>valentem</w:t>
      </w:r>
      <w:proofErr w:type="spellEnd"/>
      <w:r w:rsidRPr="008C1420">
        <w:rPr>
          <w:rFonts w:ascii="Times New Roman" w:hAnsi="Times New Roman" w:cs="Times New Roman"/>
          <w:sz w:val="24"/>
          <w:szCs w:val="24"/>
        </w:rPr>
        <w:t xml:space="preserve"> depends on the reasonableness of a plaintiff's action or inaction. (Per opinion of Higginson, Circuit Judge, with one judge concurring in part.)</w:t>
      </w:r>
    </w:p>
    <w:p w14:paraId="1539D4AD" w14:textId="79F18321" w:rsidR="004B5E52" w:rsidRPr="008C1420" w:rsidRDefault="00000000" w:rsidP="008C1420">
      <w:pPr>
        <w:pStyle w:val="ListParagraph"/>
        <w:numPr>
          <w:ilvl w:val="0"/>
          <w:numId w:val="7"/>
        </w:numPr>
        <w:spacing w:after="0" w:line="480" w:lineRule="auto"/>
        <w:rPr>
          <w:rFonts w:ascii="Times New Roman" w:hAnsi="Times New Roman" w:cs="Times New Roman"/>
          <w:sz w:val="24"/>
          <w:szCs w:val="24"/>
        </w:rPr>
      </w:pPr>
      <w:hyperlink r:id="rId13" w:history="1">
        <w:r w:rsidR="004B5E52" w:rsidRPr="008C1420">
          <w:rPr>
            <w:rStyle w:val="Hyperlink"/>
            <w:rFonts w:ascii="Times New Roman" w:hAnsi="Times New Roman" w:cs="Times New Roman"/>
            <w:i/>
            <w:iCs/>
            <w:sz w:val="24"/>
            <w:szCs w:val="24"/>
          </w:rPr>
          <w:t>BFP v. Resolution Trust Corporation,</w:t>
        </w:r>
        <w:r w:rsidR="004B5E52" w:rsidRPr="008C1420">
          <w:rPr>
            <w:rStyle w:val="Hyperlink"/>
            <w:rFonts w:ascii="Times New Roman" w:hAnsi="Times New Roman" w:cs="Times New Roman"/>
            <w:sz w:val="24"/>
            <w:szCs w:val="24"/>
          </w:rPr>
          <w:t xml:space="preserve"> 511 U.S. 531, 540, 114 </w:t>
        </w:r>
        <w:proofErr w:type="spellStart"/>
        <w:r w:rsidR="004B5E52" w:rsidRPr="008C1420">
          <w:rPr>
            <w:rStyle w:val="Hyperlink"/>
            <w:rFonts w:ascii="Times New Roman" w:hAnsi="Times New Roman" w:cs="Times New Roman"/>
            <w:sz w:val="24"/>
            <w:szCs w:val="24"/>
          </w:rPr>
          <w:t>S.Ct</w:t>
        </w:r>
        <w:proofErr w:type="spellEnd"/>
        <w:r w:rsidR="004B5E52" w:rsidRPr="008C1420">
          <w:rPr>
            <w:rStyle w:val="Hyperlink"/>
            <w:rFonts w:ascii="Times New Roman" w:hAnsi="Times New Roman" w:cs="Times New Roman"/>
            <w:sz w:val="24"/>
            <w:szCs w:val="24"/>
          </w:rPr>
          <w:t>. 1757, 128 L.Ed.2d 556</w:t>
        </w:r>
      </w:hyperlink>
      <w:r w:rsidR="004B5E52" w:rsidRPr="008C1420">
        <w:rPr>
          <w:rFonts w:ascii="Times New Roman" w:hAnsi="Times New Roman" w:cs="Times New Roman"/>
          <w:sz w:val="24"/>
          <w:szCs w:val="24"/>
        </w:rPr>
        <w:t>, clarifies that the common-law term “actual </w:t>
      </w:r>
      <w:r w:rsidR="004B5E52" w:rsidRPr="008C1420">
        <w:rPr>
          <w:rFonts w:ascii="Times New Roman" w:hAnsi="Times New Roman" w:cs="Times New Roman"/>
          <w:b/>
          <w:bCs/>
          <w:sz w:val="24"/>
          <w:szCs w:val="24"/>
        </w:rPr>
        <w:t>fraud</w:t>
      </w:r>
      <w:r w:rsidR="004B5E52" w:rsidRPr="008C1420">
        <w:rPr>
          <w:rFonts w:ascii="Times New Roman" w:hAnsi="Times New Roman" w:cs="Times New Roman"/>
          <w:sz w:val="24"/>
          <w:szCs w:val="24"/>
        </w:rPr>
        <w:t>” is broad enough to incorporate fraudulent conveyances. The common law also indicates that fraudulent conveyances do not require a misrepresentation from a debtor to a creditor, see </w:t>
      </w:r>
      <w:hyperlink r:id="rId14" w:history="1">
        <w:r w:rsidR="004B5E52" w:rsidRPr="008C1420">
          <w:rPr>
            <w:rStyle w:val="Hyperlink"/>
            <w:rFonts w:ascii="Times New Roman" w:hAnsi="Times New Roman" w:cs="Times New Roman"/>
            <w:i/>
            <w:iCs/>
            <w:sz w:val="24"/>
            <w:szCs w:val="24"/>
          </w:rPr>
          <w:t>id.,</w:t>
        </w:r>
        <w:r w:rsidR="004B5E52" w:rsidRPr="008C1420">
          <w:rPr>
            <w:rStyle w:val="Hyperlink"/>
            <w:rFonts w:ascii="Times New Roman" w:hAnsi="Times New Roman" w:cs="Times New Roman"/>
            <w:sz w:val="24"/>
            <w:szCs w:val="24"/>
          </w:rPr>
          <w:t xml:space="preserve"> at 541, 114 </w:t>
        </w:r>
        <w:proofErr w:type="spellStart"/>
        <w:r w:rsidR="004B5E52" w:rsidRPr="008C1420">
          <w:rPr>
            <w:rStyle w:val="Hyperlink"/>
            <w:rFonts w:ascii="Times New Roman" w:hAnsi="Times New Roman" w:cs="Times New Roman"/>
            <w:sz w:val="24"/>
            <w:szCs w:val="24"/>
          </w:rPr>
          <w:t>S.Ct</w:t>
        </w:r>
        <w:proofErr w:type="spellEnd"/>
        <w:r w:rsidR="004B5E52" w:rsidRPr="008C1420">
          <w:rPr>
            <w:rStyle w:val="Hyperlink"/>
            <w:rFonts w:ascii="Times New Roman" w:hAnsi="Times New Roman" w:cs="Times New Roman"/>
            <w:sz w:val="24"/>
            <w:szCs w:val="24"/>
          </w:rPr>
          <w:t>. 1757</w:t>
        </w:r>
      </w:hyperlink>
      <w:r w:rsidR="004B5E52" w:rsidRPr="008C1420">
        <w:rPr>
          <w:rFonts w:ascii="Times New Roman" w:hAnsi="Times New Roman" w:cs="Times New Roman"/>
          <w:sz w:val="24"/>
          <w:szCs w:val="24"/>
        </w:rPr>
        <w:t> as they lie not in dishonestly inducing a creditor to extend a debt but in the acts of concealment and hindrance. Pp. 1586 – 1588.</w:t>
      </w:r>
    </w:p>
    <w:p w14:paraId="3BA1B7C4" w14:textId="77777777" w:rsidR="004B5E52" w:rsidRPr="00A57BD9" w:rsidRDefault="004B5E52" w:rsidP="00A57BD9">
      <w:pPr>
        <w:spacing w:after="0" w:line="480" w:lineRule="auto"/>
        <w:ind w:left="360"/>
        <w:rPr>
          <w:rFonts w:ascii="Times New Roman" w:hAnsi="Times New Roman" w:cs="Times New Roman"/>
          <w:sz w:val="24"/>
          <w:szCs w:val="24"/>
        </w:rPr>
      </w:pPr>
    </w:p>
    <w:p w14:paraId="1FC42369" w14:textId="3DCCC013" w:rsidR="00BC6F0B" w:rsidRPr="00BC6F0B" w:rsidRDefault="00BC6F0B" w:rsidP="00347E38">
      <w:pPr>
        <w:pStyle w:val="ListParagraph"/>
        <w:numPr>
          <w:ilvl w:val="0"/>
          <w:numId w:val="6"/>
        </w:numPr>
        <w:spacing w:after="0" w:line="48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 xml:space="preserve">QUALIFIED IMMUNITY </w:t>
      </w:r>
    </w:p>
    <w:p w14:paraId="72F16A92" w14:textId="38F57E2A" w:rsidR="00BC6F0B" w:rsidRDefault="00BC6F0B" w:rsidP="00BC6F0B">
      <w:pPr>
        <w:pStyle w:val="ListParagraph"/>
        <w:numPr>
          <w:ilvl w:val="0"/>
          <w:numId w:val="8"/>
        </w:numPr>
        <w:spacing w:after="0" w:line="480" w:lineRule="auto"/>
        <w:rPr>
          <w:rFonts w:ascii="Times New Roman" w:hAnsi="Times New Roman" w:cs="Times New Roman"/>
          <w:sz w:val="24"/>
          <w:szCs w:val="24"/>
        </w:rPr>
      </w:pPr>
      <w:r w:rsidRPr="00BC6F0B">
        <w:rPr>
          <w:rFonts w:ascii="Times New Roman" w:hAnsi="Times New Roman" w:cs="Times New Roman"/>
          <w:sz w:val="24"/>
          <w:szCs w:val="24"/>
        </w:rPr>
        <w:lastRenderedPageBreak/>
        <w:t>In </w:t>
      </w:r>
      <w:hyperlink r:id="rId15" w:history="1">
        <w:r w:rsidRPr="00BC6F0B">
          <w:rPr>
            <w:rStyle w:val="Hyperlink"/>
            <w:rFonts w:ascii="Times New Roman" w:hAnsi="Times New Roman" w:cs="Times New Roman"/>
            <w:sz w:val="24"/>
            <w:szCs w:val="24"/>
          </w:rPr>
          <w:t>Anderson v. Creighton, 483 U.S. 635 (1987)</w:t>
        </w:r>
      </w:hyperlink>
      <w:r w:rsidRPr="00BC6F0B">
        <w:rPr>
          <w:rFonts w:ascii="Times New Roman" w:hAnsi="Times New Roman" w:cs="Times New Roman"/>
          <w:sz w:val="24"/>
          <w:szCs w:val="24"/>
        </w:rPr>
        <w:t>, the Supreme Court held that when an officer of the law (in this case, an FBI officer) conducts a </w:t>
      </w:r>
      <w:r w:rsidRPr="00546B72">
        <w:rPr>
          <w:rFonts w:ascii="Times New Roman" w:hAnsi="Times New Roman" w:cs="Times New Roman"/>
          <w:sz w:val="24"/>
          <w:szCs w:val="24"/>
        </w:rPr>
        <w:t>search</w:t>
      </w:r>
      <w:r w:rsidRPr="00BC6F0B">
        <w:rPr>
          <w:rFonts w:ascii="Times New Roman" w:hAnsi="Times New Roman" w:cs="Times New Roman"/>
          <w:sz w:val="24"/>
          <w:szCs w:val="24"/>
        </w:rPr>
        <w:t> which violates the </w:t>
      </w:r>
      <w:r w:rsidRPr="00546B72">
        <w:rPr>
          <w:rFonts w:ascii="Times New Roman" w:hAnsi="Times New Roman" w:cs="Times New Roman"/>
          <w:sz w:val="24"/>
          <w:szCs w:val="24"/>
        </w:rPr>
        <w:t>Fourth Amendment</w:t>
      </w:r>
      <w:r w:rsidRPr="00BC6F0B">
        <w:rPr>
          <w:rFonts w:ascii="Times New Roman" w:hAnsi="Times New Roman" w:cs="Times New Roman"/>
          <w:sz w:val="24"/>
          <w:szCs w:val="24"/>
        </w:rPr>
        <w:t xml:space="preserve">, that officer is entitled to qualified immunity if the officer proves that a reasonable officer could have believed that the search constitutionally complied with the Fourth Amendment. The relevant question that a court should ask is whether </w:t>
      </w:r>
      <w:r w:rsidRPr="00AF0226">
        <w:rPr>
          <w:rFonts w:ascii="Times New Roman" w:hAnsi="Times New Roman" w:cs="Times New Roman"/>
          <w:b/>
          <w:bCs/>
          <w:sz w:val="24"/>
          <w:szCs w:val="24"/>
          <w:u w:val="single"/>
        </w:rPr>
        <w:t>a reasonable officer could have believed the warrantless search to be lawful</w:t>
      </w:r>
      <w:r w:rsidRPr="00BC6F0B">
        <w:rPr>
          <w:rFonts w:ascii="Times New Roman" w:hAnsi="Times New Roman" w:cs="Times New Roman"/>
          <w:sz w:val="24"/>
          <w:szCs w:val="24"/>
        </w:rPr>
        <w:t>, considering clearly established law and the information which the officer possessed. The Supreme Court also held that "subjective beliefs about the search are irrelevant." </w:t>
      </w:r>
    </w:p>
    <w:p w14:paraId="3CF5F2F7" w14:textId="1297CB85" w:rsidR="00A13082" w:rsidRPr="00A13082" w:rsidRDefault="00A13082" w:rsidP="00BC6F0B">
      <w:pPr>
        <w:pStyle w:val="ListParagraph"/>
        <w:numPr>
          <w:ilvl w:val="0"/>
          <w:numId w:val="8"/>
        </w:numPr>
        <w:spacing w:after="0" w:line="480" w:lineRule="auto"/>
        <w:rPr>
          <w:rFonts w:ascii="Times New Roman" w:hAnsi="Times New Roman" w:cs="Times New Roman"/>
          <w:sz w:val="24"/>
          <w:szCs w:val="24"/>
        </w:rPr>
      </w:pPr>
      <w:r w:rsidRPr="00A13082">
        <w:rPr>
          <w:rFonts w:ascii="Times New Roman" w:hAnsi="Times New Roman" w:cs="Times New Roman"/>
          <w:color w:val="333333"/>
          <w:sz w:val="24"/>
          <w:szCs w:val="24"/>
          <w:shd w:val="clear" w:color="auto" w:fill="FFFFFF"/>
        </w:rPr>
        <w:t>In </w:t>
      </w:r>
      <w:hyperlink r:id="rId16" w:history="1">
        <w:r w:rsidRPr="00A13082">
          <w:rPr>
            <w:rStyle w:val="Hyperlink"/>
            <w:rFonts w:ascii="Times New Roman" w:hAnsi="Times New Roman" w:cs="Times New Roman"/>
            <w:color w:val="0068AC"/>
            <w:sz w:val="24"/>
            <w:szCs w:val="24"/>
            <w:shd w:val="clear" w:color="auto" w:fill="FFFFFF"/>
          </w:rPr>
          <w:t>Pearson v. Callahan, 555 U.S. 223 (2009)</w:t>
        </w:r>
      </w:hyperlink>
      <w:r w:rsidRPr="00A13082">
        <w:rPr>
          <w:rFonts w:ascii="Times New Roman" w:hAnsi="Times New Roman" w:cs="Times New Roman"/>
          <w:color w:val="333333"/>
          <w:sz w:val="24"/>
          <w:szCs w:val="24"/>
          <w:shd w:val="clear" w:color="auto" w:fill="FFFFFF"/>
        </w:rPr>
        <w:t>, the Supreme Court held that while the </w:t>
      </w:r>
      <w:r w:rsidRPr="00A13082">
        <w:rPr>
          <w:rStyle w:val="Emphasis"/>
          <w:rFonts w:ascii="Times New Roman" w:hAnsi="Times New Roman" w:cs="Times New Roman"/>
          <w:color w:val="333333"/>
          <w:sz w:val="24"/>
          <w:szCs w:val="24"/>
          <w:shd w:val="clear" w:color="auto" w:fill="FFFFFF"/>
        </w:rPr>
        <w:t>Saucier </w:t>
      </w:r>
      <w:r w:rsidRPr="00A13082">
        <w:rPr>
          <w:rFonts w:ascii="Times New Roman" w:hAnsi="Times New Roman" w:cs="Times New Roman"/>
          <w:color w:val="333333"/>
          <w:sz w:val="24"/>
          <w:szCs w:val="24"/>
          <w:shd w:val="clear" w:color="auto" w:fill="FFFFFF"/>
        </w:rPr>
        <w:t>test is helpful, it does not need to be applied in qualified immunity claims. Rather, a trial court should have more discretion in whether it should apply </w:t>
      </w:r>
      <w:r w:rsidRPr="00A13082">
        <w:rPr>
          <w:rStyle w:val="Emphasis"/>
          <w:rFonts w:ascii="Times New Roman" w:hAnsi="Times New Roman" w:cs="Times New Roman"/>
          <w:color w:val="333333"/>
          <w:sz w:val="24"/>
          <w:szCs w:val="24"/>
          <w:shd w:val="clear" w:color="auto" w:fill="FFFFFF"/>
        </w:rPr>
        <w:t>Saucier</w:t>
      </w:r>
      <w:r w:rsidRPr="00A13082">
        <w:rPr>
          <w:rFonts w:ascii="Times New Roman" w:hAnsi="Times New Roman" w:cs="Times New Roman"/>
          <w:color w:val="333333"/>
          <w:sz w:val="24"/>
          <w:szCs w:val="24"/>
          <w:shd w:val="clear" w:color="auto" w:fill="FFFFFF"/>
        </w:rPr>
        <w:t>. The Court also held that </w:t>
      </w:r>
      <w:r w:rsidRPr="006411CA">
        <w:rPr>
          <w:rFonts w:ascii="Times New Roman" w:hAnsi="Times New Roman" w:cs="Times New Roman"/>
          <w:color w:val="333333"/>
          <w:sz w:val="24"/>
          <w:szCs w:val="24"/>
          <w:u w:val="single"/>
          <w:shd w:val="clear" w:color="auto" w:fill="FFFFFF"/>
        </w:rPr>
        <w:t>"[a]n officer conducting a search is entitled to qualified immunity where clearly established law does not show that the search violated the Fourth Amendment</w:t>
      </w:r>
      <w:r w:rsidRPr="00A13082">
        <w:rPr>
          <w:rFonts w:ascii="Times New Roman" w:hAnsi="Times New Roman" w:cs="Times New Roman"/>
          <w:color w:val="333333"/>
          <w:sz w:val="24"/>
          <w:szCs w:val="24"/>
          <w:shd w:val="clear" w:color="auto" w:fill="FFFFFF"/>
        </w:rPr>
        <w:t>."</w:t>
      </w:r>
    </w:p>
    <w:p w14:paraId="646757F3" w14:textId="5330E580" w:rsidR="00A13082" w:rsidRPr="00A13082" w:rsidRDefault="00A13082" w:rsidP="00BC6F0B">
      <w:pPr>
        <w:pStyle w:val="ListParagraph"/>
        <w:numPr>
          <w:ilvl w:val="0"/>
          <w:numId w:val="8"/>
        </w:numPr>
        <w:spacing w:after="0" w:line="480" w:lineRule="auto"/>
        <w:rPr>
          <w:rFonts w:ascii="Times New Roman" w:hAnsi="Times New Roman" w:cs="Times New Roman"/>
          <w:sz w:val="24"/>
          <w:szCs w:val="24"/>
        </w:rPr>
      </w:pPr>
      <w:r>
        <w:rPr>
          <w:rFonts w:ascii="Verdana" w:hAnsi="Verdana"/>
          <w:color w:val="333333"/>
          <w:shd w:val="clear" w:color="auto" w:fill="FFFFFF"/>
        </w:rPr>
        <w:t>In </w:t>
      </w:r>
      <w:hyperlink r:id="rId17" w:history="1">
        <w:r>
          <w:rPr>
            <w:rStyle w:val="Hyperlink"/>
            <w:rFonts w:ascii="Verdana" w:hAnsi="Verdana"/>
            <w:color w:val="0068AC"/>
            <w:shd w:val="clear" w:color="auto" w:fill="FFFFFF"/>
          </w:rPr>
          <w:t xml:space="preserve">Safford Unified School Dist. #1 v. Redding, 129 </w:t>
        </w:r>
        <w:proofErr w:type="spellStart"/>
        <w:r>
          <w:rPr>
            <w:rStyle w:val="Hyperlink"/>
            <w:rFonts w:ascii="Verdana" w:hAnsi="Verdana"/>
            <w:color w:val="0068AC"/>
            <w:shd w:val="clear" w:color="auto" w:fill="FFFFFF"/>
          </w:rPr>
          <w:t>S.Ct</w:t>
        </w:r>
        <w:proofErr w:type="spellEnd"/>
        <w:r>
          <w:rPr>
            <w:rStyle w:val="Hyperlink"/>
            <w:rFonts w:ascii="Verdana" w:hAnsi="Verdana"/>
            <w:color w:val="0068AC"/>
            <w:shd w:val="clear" w:color="auto" w:fill="FFFFFF"/>
          </w:rPr>
          <w:t>. 2633 (2009)</w:t>
        </w:r>
      </w:hyperlink>
      <w:r>
        <w:rPr>
          <w:rFonts w:ascii="Verdana" w:hAnsi="Verdana"/>
          <w:color w:val="333333"/>
          <w:shd w:val="clear" w:color="auto" w:fill="FFFFFF"/>
        </w:rPr>
        <w:t xml:space="preserve">, the Supreme Court held that even when an individual's Fourth Amendment right to be safe from unreasonable search and seizure is violated, the person performing the search may still be immune under qualified immunity, </w:t>
      </w:r>
      <w:r w:rsidRPr="006411CA">
        <w:rPr>
          <w:rFonts w:ascii="Verdana" w:hAnsi="Verdana"/>
          <w:color w:val="333333"/>
          <w:u w:val="single"/>
          <w:shd w:val="clear" w:color="auto" w:fill="FFFFFF"/>
        </w:rPr>
        <w:t>if "clearly established law does not show that the search violated the Fourth Amendment</w:t>
      </w:r>
      <w:r>
        <w:rPr>
          <w:rFonts w:ascii="Verdana" w:hAnsi="Verdana"/>
          <w:color w:val="333333"/>
          <w:shd w:val="clear" w:color="auto" w:fill="FFFFFF"/>
        </w:rPr>
        <w:t>."</w:t>
      </w:r>
    </w:p>
    <w:p w14:paraId="34E4D40C" w14:textId="49A7A314" w:rsidR="00BC6F0B" w:rsidRDefault="00BC6F0B" w:rsidP="00BC6F0B">
      <w:pPr>
        <w:pStyle w:val="ListParagraph"/>
        <w:spacing w:after="0" w:line="480" w:lineRule="auto"/>
        <w:ind w:left="1080"/>
        <w:rPr>
          <w:rFonts w:ascii="Times New Roman" w:hAnsi="Times New Roman" w:cs="Times New Roman"/>
          <w:sz w:val="28"/>
          <w:szCs w:val="28"/>
        </w:rPr>
      </w:pPr>
    </w:p>
    <w:p w14:paraId="3F28247C" w14:textId="77777777" w:rsidR="00BC6F0B" w:rsidRDefault="00BC6F0B" w:rsidP="00BC6F0B">
      <w:pPr>
        <w:pStyle w:val="ListParagraph"/>
        <w:spacing w:after="0" w:line="480" w:lineRule="auto"/>
        <w:ind w:left="1080"/>
        <w:rPr>
          <w:rFonts w:ascii="Times New Roman" w:hAnsi="Times New Roman" w:cs="Times New Roman"/>
          <w:b/>
          <w:bCs/>
          <w:sz w:val="28"/>
          <w:szCs w:val="28"/>
          <w:u w:val="single"/>
        </w:rPr>
      </w:pPr>
    </w:p>
    <w:p w14:paraId="6CC96FFD" w14:textId="67A428F5" w:rsidR="007E1E94" w:rsidRPr="00347E38" w:rsidRDefault="00D57E42" w:rsidP="00347E38">
      <w:pPr>
        <w:pStyle w:val="ListParagraph"/>
        <w:numPr>
          <w:ilvl w:val="0"/>
          <w:numId w:val="6"/>
        </w:numPr>
        <w:spacing w:after="0" w:line="480" w:lineRule="auto"/>
        <w:jc w:val="center"/>
        <w:rPr>
          <w:rFonts w:ascii="Times New Roman" w:hAnsi="Times New Roman" w:cs="Times New Roman"/>
          <w:b/>
          <w:bCs/>
          <w:sz w:val="28"/>
          <w:szCs w:val="28"/>
          <w:u w:val="single"/>
        </w:rPr>
      </w:pPr>
      <w:r w:rsidRPr="00347E38">
        <w:rPr>
          <w:rFonts w:ascii="Times New Roman" w:hAnsi="Times New Roman" w:cs="Times New Roman"/>
          <w:b/>
          <w:bCs/>
          <w:sz w:val="28"/>
          <w:szCs w:val="28"/>
          <w:u w:val="single"/>
        </w:rPr>
        <w:t>EMPANELMENT OF GRAND JURY</w:t>
      </w:r>
    </w:p>
    <w:p w14:paraId="680096AD" w14:textId="0CA514E3" w:rsidR="00D57E42" w:rsidRPr="00BC6F0B" w:rsidRDefault="00D57E42" w:rsidP="00BC6F0B">
      <w:pPr>
        <w:pStyle w:val="ListParagraph"/>
        <w:numPr>
          <w:ilvl w:val="0"/>
          <w:numId w:val="9"/>
        </w:numPr>
        <w:spacing w:line="480" w:lineRule="auto"/>
        <w:rPr>
          <w:rFonts w:ascii="Times New Roman" w:hAnsi="Times New Roman" w:cs="Times New Roman"/>
          <w:b/>
          <w:bCs/>
          <w:i/>
          <w:iCs/>
          <w:sz w:val="24"/>
          <w:szCs w:val="24"/>
        </w:rPr>
      </w:pPr>
      <w:r w:rsidRPr="00BC6F0B">
        <w:rPr>
          <w:rFonts w:ascii="Times New Roman" w:hAnsi="Times New Roman" w:cs="Times New Roman"/>
          <w:sz w:val="24"/>
          <w:szCs w:val="24"/>
        </w:rPr>
        <w:t xml:space="preserve">Plaintiff is looking for compliance with title 42 U.S.C. § 1987 (Prosecution of violation of certain laws) that authorizes and requires, at the expense of the  United States, to institute </w:t>
      </w:r>
      <w:r w:rsidRPr="00BC6F0B">
        <w:rPr>
          <w:rFonts w:ascii="Times New Roman" w:hAnsi="Times New Roman" w:cs="Times New Roman"/>
          <w:sz w:val="24"/>
          <w:szCs w:val="24"/>
        </w:rPr>
        <w:lastRenderedPageBreak/>
        <w:t xml:space="preserve">prosecutions against all persons violating any of the provisions of </w:t>
      </w:r>
      <w:r w:rsidRPr="00F41DF7">
        <w:rPr>
          <w:rFonts w:ascii="Times New Roman" w:hAnsi="Times New Roman" w:cs="Times New Roman"/>
          <w:b/>
          <w:bCs/>
          <w:sz w:val="24"/>
          <w:szCs w:val="24"/>
        </w:rPr>
        <w:t>Title 18 U.S.C. § 241</w:t>
      </w:r>
      <w:r w:rsidRPr="00BC6F0B">
        <w:rPr>
          <w:rFonts w:ascii="Times New Roman" w:hAnsi="Times New Roman" w:cs="Times New Roman"/>
          <w:sz w:val="24"/>
          <w:szCs w:val="24"/>
        </w:rPr>
        <w:t xml:space="preserve"> and </w:t>
      </w:r>
      <w:r w:rsidRPr="00F41DF7">
        <w:rPr>
          <w:rFonts w:ascii="Times New Roman" w:hAnsi="Times New Roman" w:cs="Times New Roman"/>
          <w:b/>
          <w:bCs/>
          <w:sz w:val="24"/>
          <w:szCs w:val="24"/>
        </w:rPr>
        <w:t>242, Title 18 U.S.C. § 1964 (a) (b) (c) and § 1968</w:t>
      </w:r>
      <w:r w:rsidRPr="00BC6F0B">
        <w:rPr>
          <w:rFonts w:ascii="Times New Roman" w:hAnsi="Times New Roman" w:cs="Times New Roman"/>
          <w:sz w:val="24"/>
          <w:szCs w:val="24"/>
        </w:rPr>
        <w:t xml:space="preserve"> (Civil investigative demand) and to cause such </w:t>
      </w:r>
      <w:r w:rsidRPr="00F41DF7">
        <w:rPr>
          <w:rFonts w:ascii="Times New Roman" w:hAnsi="Times New Roman" w:cs="Times New Roman"/>
          <w:sz w:val="24"/>
          <w:szCs w:val="24"/>
          <w:u w:val="single"/>
        </w:rPr>
        <w:t>persons to be arrested, and imprisoned or bailed, for trial</w:t>
      </w:r>
      <w:r w:rsidRPr="00BC6F0B">
        <w:rPr>
          <w:rFonts w:ascii="Times New Roman" w:hAnsi="Times New Roman" w:cs="Times New Roman"/>
          <w:sz w:val="24"/>
          <w:szCs w:val="24"/>
        </w:rPr>
        <w:t xml:space="preserve"> before the court of the United States or the territorial court having cognizance of the offense. </w:t>
      </w:r>
      <w:r w:rsidRPr="00BC6F0B">
        <w:rPr>
          <w:rFonts w:ascii="Times New Roman" w:hAnsi="Times New Roman" w:cs="Times New Roman"/>
          <w:b/>
          <w:bCs/>
          <w:i/>
          <w:iCs/>
          <w:sz w:val="24"/>
          <w:szCs w:val="24"/>
        </w:rPr>
        <w:t>See Pub. Law 106-274, Sec. 4 (d), Sept. 22, 2000, 114 Stat. 804.</w:t>
      </w:r>
    </w:p>
    <w:p w14:paraId="7BC3C52F" w14:textId="4CB7241F" w:rsidR="00D57E42" w:rsidRPr="00347E38" w:rsidRDefault="00D57E42" w:rsidP="00347E38">
      <w:pPr>
        <w:pStyle w:val="ListParagraph"/>
        <w:numPr>
          <w:ilvl w:val="0"/>
          <w:numId w:val="6"/>
        </w:numPr>
        <w:spacing w:line="480" w:lineRule="auto"/>
        <w:jc w:val="center"/>
        <w:rPr>
          <w:rFonts w:ascii="Times New Roman" w:hAnsi="Times New Roman" w:cs="Times New Roman"/>
          <w:b/>
          <w:bCs/>
          <w:sz w:val="28"/>
          <w:szCs w:val="28"/>
        </w:rPr>
      </w:pPr>
      <w:r w:rsidRPr="00347E38">
        <w:rPr>
          <w:rFonts w:ascii="Times New Roman" w:hAnsi="Times New Roman" w:cs="Times New Roman"/>
          <w:b/>
          <w:bCs/>
          <w:sz w:val="28"/>
          <w:szCs w:val="28"/>
        </w:rPr>
        <w:t>CONCLUSION</w:t>
      </w:r>
    </w:p>
    <w:p w14:paraId="70A7CB84" w14:textId="45E1C417" w:rsidR="00477139" w:rsidRPr="00A269B1" w:rsidRDefault="00864260" w:rsidP="00864260">
      <w:pPr>
        <w:spacing w:line="480" w:lineRule="auto"/>
        <w:ind w:firstLine="360"/>
        <w:rPr>
          <w:rFonts w:ascii="Times New Roman" w:hAnsi="Times New Roman" w:cs="Times New Roman"/>
          <w:sz w:val="24"/>
          <w:szCs w:val="24"/>
        </w:rPr>
      </w:pPr>
      <w:r w:rsidRPr="00A269B1">
        <w:rPr>
          <w:rFonts w:ascii="Times New Roman" w:hAnsi="Times New Roman" w:cs="Times New Roman"/>
          <w:sz w:val="24"/>
          <w:szCs w:val="24"/>
        </w:rPr>
        <w:tab/>
      </w:r>
      <w:r w:rsidRPr="00F41DF7">
        <w:rPr>
          <w:rFonts w:ascii="Times New Roman" w:hAnsi="Times New Roman" w:cs="Times New Roman"/>
          <w:b/>
          <w:bCs/>
          <w:sz w:val="24"/>
          <w:szCs w:val="24"/>
        </w:rPr>
        <w:t>WHEREFORE PLAINTIFF</w:t>
      </w:r>
      <w:r w:rsidRPr="00A269B1">
        <w:rPr>
          <w:rFonts w:ascii="Times New Roman" w:hAnsi="Times New Roman" w:cs="Times New Roman"/>
          <w:sz w:val="24"/>
          <w:szCs w:val="24"/>
        </w:rPr>
        <w:t xml:space="preserve"> move this Honorable Court to enter an order for dismissal of Defendants Motion</w:t>
      </w:r>
      <w:r w:rsidR="00972EC0">
        <w:rPr>
          <w:rFonts w:ascii="Times New Roman" w:hAnsi="Times New Roman" w:cs="Times New Roman"/>
          <w:sz w:val="24"/>
          <w:szCs w:val="24"/>
        </w:rPr>
        <w:t>s</w:t>
      </w:r>
      <w:r w:rsidRPr="00A269B1">
        <w:rPr>
          <w:rFonts w:ascii="Times New Roman" w:hAnsi="Times New Roman" w:cs="Times New Roman"/>
          <w:sz w:val="24"/>
          <w:szCs w:val="24"/>
        </w:rPr>
        <w:t xml:space="preserve"> to Dismiss.</w:t>
      </w:r>
    </w:p>
    <w:p w14:paraId="24015389" w14:textId="35178D8B" w:rsidR="00864260" w:rsidRPr="00A269B1" w:rsidRDefault="008B75F4" w:rsidP="00C22939">
      <w:pPr>
        <w:spacing w:line="480" w:lineRule="auto"/>
        <w:ind w:firstLine="360"/>
        <w:jc w:val="right"/>
        <w:rPr>
          <w:rFonts w:ascii="Times New Roman" w:hAnsi="Times New Roman" w:cs="Times New Roman"/>
          <w:sz w:val="24"/>
          <w:szCs w:val="24"/>
        </w:rPr>
      </w:pPr>
      <w:r w:rsidRPr="00A269B1">
        <w:rPr>
          <w:rFonts w:ascii="Times New Roman" w:hAnsi="Times New Roman" w:cs="Times New Roman"/>
          <w:sz w:val="24"/>
          <w:szCs w:val="24"/>
        </w:rPr>
        <w:t>____________________________</w:t>
      </w:r>
    </w:p>
    <w:p w14:paraId="5D594654" w14:textId="7F37F81A" w:rsidR="00864260" w:rsidRPr="00A269B1" w:rsidRDefault="008B75F4" w:rsidP="00C22939">
      <w:pPr>
        <w:spacing w:line="480" w:lineRule="auto"/>
        <w:jc w:val="right"/>
        <w:rPr>
          <w:rFonts w:ascii="Times New Roman" w:hAnsi="Times New Roman" w:cs="Times New Roman"/>
          <w:i/>
          <w:iCs/>
          <w:sz w:val="24"/>
          <w:szCs w:val="24"/>
        </w:rPr>
      </w:pPr>
      <w:r w:rsidRPr="00A269B1">
        <w:rPr>
          <w:rFonts w:ascii="Times New Roman" w:hAnsi="Times New Roman" w:cs="Times New Roman"/>
          <w:sz w:val="24"/>
          <w:szCs w:val="24"/>
        </w:rPr>
        <w:t xml:space="preserve">Howard Gary Brown </w:t>
      </w:r>
      <w:r w:rsidRPr="00A269B1">
        <w:rPr>
          <w:rFonts w:ascii="Times New Roman" w:hAnsi="Times New Roman" w:cs="Times New Roman"/>
          <w:i/>
          <w:iCs/>
          <w:sz w:val="24"/>
          <w:szCs w:val="24"/>
        </w:rPr>
        <w:t>pro se</w:t>
      </w:r>
    </w:p>
    <w:p w14:paraId="04769A34" w14:textId="3B5C5644" w:rsidR="00791AF3" w:rsidRPr="00A269B1" w:rsidRDefault="00791AF3" w:rsidP="00F028D4">
      <w:pPr>
        <w:spacing w:line="480" w:lineRule="auto"/>
        <w:ind w:left="360"/>
        <w:rPr>
          <w:rFonts w:ascii="Times New Roman" w:hAnsi="Times New Roman" w:cs="Times New Roman"/>
          <w:b/>
          <w:bCs/>
          <w:sz w:val="24"/>
          <w:szCs w:val="24"/>
        </w:rPr>
      </w:pPr>
    </w:p>
    <w:p w14:paraId="60665401" w14:textId="2CE8350C" w:rsidR="00C22939" w:rsidRPr="00A269B1" w:rsidRDefault="00C22939" w:rsidP="00F028D4">
      <w:pPr>
        <w:spacing w:line="480" w:lineRule="auto"/>
        <w:ind w:left="360"/>
        <w:rPr>
          <w:rFonts w:ascii="Times New Roman" w:hAnsi="Times New Roman" w:cs="Times New Roman"/>
          <w:b/>
          <w:bCs/>
          <w:sz w:val="24"/>
          <w:szCs w:val="24"/>
        </w:rPr>
      </w:pPr>
    </w:p>
    <w:p w14:paraId="6347DBA8" w14:textId="7E1436EB" w:rsidR="00C22939" w:rsidRPr="00A269B1" w:rsidRDefault="00C22939" w:rsidP="00F028D4">
      <w:pPr>
        <w:spacing w:line="480" w:lineRule="auto"/>
        <w:ind w:left="360"/>
        <w:rPr>
          <w:rFonts w:ascii="Times New Roman" w:hAnsi="Times New Roman" w:cs="Times New Roman"/>
          <w:b/>
          <w:bCs/>
          <w:sz w:val="24"/>
          <w:szCs w:val="24"/>
        </w:rPr>
      </w:pPr>
    </w:p>
    <w:p w14:paraId="688BD7F8" w14:textId="57E93602" w:rsidR="00CA1DF5" w:rsidRPr="00A269B1" w:rsidRDefault="00CA1DF5" w:rsidP="00F028D4">
      <w:pPr>
        <w:spacing w:line="480" w:lineRule="auto"/>
        <w:ind w:left="360"/>
        <w:rPr>
          <w:rFonts w:ascii="Times New Roman" w:hAnsi="Times New Roman" w:cs="Times New Roman"/>
          <w:b/>
          <w:bCs/>
          <w:sz w:val="24"/>
          <w:szCs w:val="24"/>
        </w:rPr>
      </w:pPr>
    </w:p>
    <w:p w14:paraId="0E4DD870" w14:textId="77777777" w:rsidR="00314820" w:rsidRPr="00C810B1" w:rsidRDefault="00314820" w:rsidP="00C810B1">
      <w:pPr>
        <w:spacing w:line="480" w:lineRule="auto"/>
        <w:rPr>
          <w:rFonts w:ascii="Times New Roman" w:hAnsi="Times New Roman" w:cs="Times New Roman"/>
          <w:b/>
          <w:bCs/>
          <w:sz w:val="24"/>
          <w:szCs w:val="24"/>
        </w:rPr>
      </w:pPr>
    </w:p>
    <w:sectPr w:rsidR="00314820" w:rsidRPr="00C810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dobe Caslon Pro">
    <w:altName w:val="Palatino Linotype"/>
    <w:panose1 w:val="00000000000000000000"/>
    <w:charset w:val="00"/>
    <w:family w:val="roman"/>
    <w:notTrueType/>
    <w:pitch w:val="variable"/>
    <w:sig w:usb0="00000007" w:usb1="00000001" w:usb2="00000000" w:usb3="00000000" w:csb0="00000093"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F14E3"/>
    <w:multiLevelType w:val="hybridMultilevel"/>
    <w:tmpl w:val="2366418C"/>
    <w:lvl w:ilvl="0" w:tplc="542CB56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2FA2B11"/>
    <w:multiLevelType w:val="hybridMultilevel"/>
    <w:tmpl w:val="909071F8"/>
    <w:lvl w:ilvl="0" w:tplc="D8803A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BA3670"/>
    <w:multiLevelType w:val="hybridMultilevel"/>
    <w:tmpl w:val="337A3902"/>
    <w:lvl w:ilvl="0" w:tplc="A08828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F836B1"/>
    <w:multiLevelType w:val="hybridMultilevel"/>
    <w:tmpl w:val="721068D0"/>
    <w:lvl w:ilvl="0" w:tplc="445A9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762B7C"/>
    <w:multiLevelType w:val="hybridMultilevel"/>
    <w:tmpl w:val="AF6E80BC"/>
    <w:lvl w:ilvl="0" w:tplc="8CF874C2">
      <w:start w:val="1"/>
      <w:numFmt w:val="decimal"/>
      <w:lvlText w:val="%1."/>
      <w:lvlJc w:val="left"/>
      <w:pPr>
        <w:ind w:left="720" w:hanging="360"/>
      </w:pPr>
      <w:rPr>
        <w:rFonts w:hint="default"/>
        <w:color w:val="2121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5D16CC"/>
    <w:multiLevelType w:val="hybridMultilevel"/>
    <w:tmpl w:val="75D874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9FC6141"/>
    <w:multiLevelType w:val="hybridMultilevel"/>
    <w:tmpl w:val="D14273BA"/>
    <w:lvl w:ilvl="0" w:tplc="46128780">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DCD237F"/>
    <w:multiLevelType w:val="hybridMultilevel"/>
    <w:tmpl w:val="44A27E86"/>
    <w:lvl w:ilvl="0" w:tplc="F33E30B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FC77D98"/>
    <w:multiLevelType w:val="hybridMultilevel"/>
    <w:tmpl w:val="974CD3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3AB2946"/>
    <w:multiLevelType w:val="hybridMultilevel"/>
    <w:tmpl w:val="B6346E8C"/>
    <w:lvl w:ilvl="0" w:tplc="1040CD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5004600">
    <w:abstractNumId w:val="5"/>
  </w:num>
  <w:num w:numId="2" w16cid:durableId="1426076821">
    <w:abstractNumId w:val="8"/>
  </w:num>
  <w:num w:numId="3" w16cid:durableId="1246495637">
    <w:abstractNumId w:val="3"/>
  </w:num>
  <w:num w:numId="4" w16cid:durableId="1563298271">
    <w:abstractNumId w:val="1"/>
  </w:num>
  <w:num w:numId="5" w16cid:durableId="1419213424">
    <w:abstractNumId w:val="7"/>
  </w:num>
  <w:num w:numId="6" w16cid:durableId="916865942">
    <w:abstractNumId w:val="2"/>
  </w:num>
  <w:num w:numId="7" w16cid:durableId="1060404419">
    <w:abstractNumId w:val="9"/>
  </w:num>
  <w:num w:numId="8" w16cid:durableId="896744859">
    <w:abstractNumId w:val="0"/>
  </w:num>
  <w:num w:numId="9" w16cid:durableId="1049182703">
    <w:abstractNumId w:val="6"/>
  </w:num>
  <w:num w:numId="10" w16cid:durableId="5991411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E5"/>
    <w:rsid w:val="000119B9"/>
    <w:rsid w:val="00015782"/>
    <w:rsid w:val="0001668D"/>
    <w:rsid w:val="00032B96"/>
    <w:rsid w:val="00047952"/>
    <w:rsid w:val="000809FF"/>
    <w:rsid w:val="000A73CA"/>
    <w:rsid w:val="00111A3B"/>
    <w:rsid w:val="001365DF"/>
    <w:rsid w:val="00147D50"/>
    <w:rsid w:val="0015449E"/>
    <w:rsid w:val="00172D53"/>
    <w:rsid w:val="001856AD"/>
    <w:rsid w:val="001A2164"/>
    <w:rsid w:val="001A533E"/>
    <w:rsid w:val="001B04CC"/>
    <w:rsid w:val="001C55E4"/>
    <w:rsid w:val="001D16DB"/>
    <w:rsid w:val="001E333E"/>
    <w:rsid w:val="001E7E7D"/>
    <w:rsid w:val="0022142D"/>
    <w:rsid w:val="00221A55"/>
    <w:rsid w:val="0026385B"/>
    <w:rsid w:val="00293961"/>
    <w:rsid w:val="002C5900"/>
    <w:rsid w:val="002F795A"/>
    <w:rsid w:val="00314820"/>
    <w:rsid w:val="003258D0"/>
    <w:rsid w:val="00335834"/>
    <w:rsid w:val="00340108"/>
    <w:rsid w:val="00345CEB"/>
    <w:rsid w:val="00347E38"/>
    <w:rsid w:val="00351F35"/>
    <w:rsid w:val="0036049E"/>
    <w:rsid w:val="00382D96"/>
    <w:rsid w:val="0039410F"/>
    <w:rsid w:val="003B56E5"/>
    <w:rsid w:val="003E7618"/>
    <w:rsid w:val="00433482"/>
    <w:rsid w:val="00436C07"/>
    <w:rsid w:val="00477139"/>
    <w:rsid w:val="004938CC"/>
    <w:rsid w:val="00493E9D"/>
    <w:rsid w:val="004B5E52"/>
    <w:rsid w:val="004C2ACE"/>
    <w:rsid w:val="004C6018"/>
    <w:rsid w:val="004F057B"/>
    <w:rsid w:val="00546B72"/>
    <w:rsid w:val="0055158B"/>
    <w:rsid w:val="005775E5"/>
    <w:rsid w:val="005A62AA"/>
    <w:rsid w:val="005C5E14"/>
    <w:rsid w:val="005F7A71"/>
    <w:rsid w:val="006411CA"/>
    <w:rsid w:val="00683982"/>
    <w:rsid w:val="00685DFB"/>
    <w:rsid w:val="00695505"/>
    <w:rsid w:val="006A513D"/>
    <w:rsid w:val="006A517C"/>
    <w:rsid w:val="00704C0D"/>
    <w:rsid w:val="00713D2C"/>
    <w:rsid w:val="00753B9D"/>
    <w:rsid w:val="00791AF3"/>
    <w:rsid w:val="007A0FD8"/>
    <w:rsid w:val="007E1E94"/>
    <w:rsid w:val="007E50C8"/>
    <w:rsid w:val="00816434"/>
    <w:rsid w:val="00864260"/>
    <w:rsid w:val="008A146D"/>
    <w:rsid w:val="008A7ED4"/>
    <w:rsid w:val="008B75F4"/>
    <w:rsid w:val="008C1420"/>
    <w:rsid w:val="008D69CE"/>
    <w:rsid w:val="008F018D"/>
    <w:rsid w:val="008F71D4"/>
    <w:rsid w:val="00911506"/>
    <w:rsid w:val="00972EC0"/>
    <w:rsid w:val="009930F2"/>
    <w:rsid w:val="00A0624A"/>
    <w:rsid w:val="00A13082"/>
    <w:rsid w:val="00A269B1"/>
    <w:rsid w:val="00A45A65"/>
    <w:rsid w:val="00A51AD9"/>
    <w:rsid w:val="00A57BD9"/>
    <w:rsid w:val="00AB0BF3"/>
    <w:rsid w:val="00AF0226"/>
    <w:rsid w:val="00B94655"/>
    <w:rsid w:val="00BB4729"/>
    <w:rsid w:val="00BC6F0B"/>
    <w:rsid w:val="00BD2EAA"/>
    <w:rsid w:val="00C22939"/>
    <w:rsid w:val="00C677AD"/>
    <w:rsid w:val="00C726A1"/>
    <w:rsid w:val="00C810B1"/>
    <w:rsid w:val="00C8270D"/>
    <w:rsid w:val="00C8624B"/>
    <w:rsid w:val="00CA1DF5"/>
    <w:rsid w:val="00CB71B7"/>
    <w:rsid w:val="00D203F4"/>
    <w:rsid w:val="00D5678A"/>
    <w:rsid w:val="00D57E42"/>
    <w:rsid w:val="00D664BF"/>
    <w:rsid w:val="00E54A71"/>
    <w:rsid w:val="00E63FDB"/>
    <w:rsid w:val="00E80A31"/>
    <w:rsid w:val="00EA1946"/>
    <w:rsid w:val="00EA5BF7"/>
    <w:rsid w:val="00EB298A"/>
    <w:rsid w:val="00EB3105"/>
    <w:rsid w:val="00ED22A3"/>
    <w:rsid w:val="00F028D4"/>
    <w:rsid w:val="00F133D8"/>
    <w:rsid w:val="00F22939"/>
    <w:rsid w:val="00F41DF7"/>
    <w:rsid w:val="00F4315B"/>
    <w:rsid w:val="00F5724E"/>
    <w:rsid w:val="00F81259"/>
    <w:rsid w:val="00F901E7"/>
    <w:rsid w:val="00F92A73"/>
    <w:rsid w:val="00FB22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9A071"/>
  <w15:chartTrackingRefBased/>
  <w15:docId w15:val="{BAEE9B28-B36E-48E0-B075-51617568E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dobe Caslon Pro" w:eastAsiaTheme="minorHAnsi" w:hAnsi="Adobe Caslon Pro" w:cstheme="minorBidi"/>
        <w:sz w:val="22"/>
        <w:szCs w:val="22"/>
        <w:lang w:val="en-US" w:eastAsia="en-US" w:bidi="ar-SA"/>
        <w14:stylisticSets>
          <w14:styleSet w14:id="2"/>
        </w14:stylisticSet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E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75E5"/>
    <w:pPr>
      <w:ind w:left="720"/>
      <w:contextualSpacing/>
    </w:pPr>
  </w:style>
  <w:style w:type="paragraph" w:styleId="Revision">
    <w:name w:val="Revision"/>
    <w:hidden/>
    <w:uiPriority w:val="99"/>
    <w:semiHidden/>
    <w:rsid w:val="00436C07"/>
    <w:pPr>
      <w:spacing w:after="0" w:line="240" w:lineRule="auto"/>
    </w:pPr>
  </w:style>
  <w:style w:type="character" w:styleId="CommentReference">
    <w:name w:val="annotation reference"/>
    <w:basedOn w:val="DefaultParagraphFont"/>
    <w:uiPriority w:val="99"/>
    <w:semiHidden/>
    <w:unhideWhenUsed/>
    <w:rsid w:val="008D69CE"/>
    <w:rPr>
      <w:sz w:val="16"/>
      <w:szCs w:val="16"/>
    </w:rPr>
  </w:style>
  <w:style w:type="paragraph" w:styleId="CommentText">
    <w:name w:val="annotation text"/>
    <w:basedOn w:val="Normal"/>
    <w:link w:val="CommentTextChar"/>
    <w:uiPriority w:val="99"/>
    <w:unhideWhenUsed/>
    <w:rsid w:val="008D69CE"/>
    <w:pPr>
      <w:spacing w:line="240" w:lineRule="auto"/>
    </w:pPr>
    <w:rPr>
      <w:sz w:val="20"/>
      <w:szCs w:val="20"/>
    </w:rPr>
  </w:style>
  <w:style w:type="character" w:customStyle="1" w:styleId="CommentTextChar">
    <w:name w:val="Comment Text Char"/>
    <w:basedOn w:val="DefaultParagraphFont"/>
    <w:link w:val="CommentText"/>
    <w:uiPriority w:val="99"/>
    <w:rsid w:val="008D69CE"/>
    <w:rPr>
      <w:sz w:val="20"/>
      <w:szCs w:val="20"/>
    </w:rPr>
  </w:style>
  <w:style w:type="paragraph" w:styleId="CommentSubject">
    <w:name w:val="annotation subject"/>
    <w:basedOn w:val="CommentText"/>
    <w:next w:val="CommentText"/>
    <w:link w:val="CommentSubjectChar"/>
    <w:uiPriority w:val="99"/>
    <w:semiHidden/>
    <w:unhideWhenUsed/>
    <w:rsid w:val="008D69CE"/>
    <w:rPr>
      <w:b/>
      <w:bCs/>
    </w:rPr>
  </w:style>
  <w:style w:type="character" w:customStyle="1" w:styleId="CommentSubjectChar">
    <w:name w:val="Comment Subject Char"/>
    <w:basedOn w:val="CommentTextChar"/>
    <w:link w:val="CommentSubject"/>
    <w:uiPriority w:val="99"/>
    <w:semiHidden/>
    <w:rsid w:val="008D69CE"/>
    <w:rPr>
      <w:b/>
      <w:bCs/>
      <w:sz w:val="20"/>
      <w:szCs w:val="20"/>
    </w:rPr>
  </w:style>
  <w:style w:type="character" w:styleId="Hyperlink">
    <w:name w:val="Hyperlink"/>
    <w:basedOn w:val="DefaultParagraphFont"/>
    <w:uiPriority w:val="99"/>
    <w:unhideWhenUsed/>
    <w:rsid w:val="00F22939"/>
    <w:rPr>
      <w:color w:val="0000FF"/>
      <w:u w:val="single"/>
    </w:rPr>
  </w:style>
  <w:style w:type="character" w:styleId="Emphasis">
    <w:name w:val="Emphasis"/>
    <w:basedOn w:val="DefaultParagraphFont"/>
    <w:uiPriority w:val="20"/>
    <w:qFormat/>
    <w:rsid w:val="00F22939"/>
    <w:rPr>
      <w:i/>
      <w:iCs/>
    </w:rPr>
  </w:style>
  <w:style w:type="character" w:styleId="UnresolvedMention">
    <w:name w:val="Unresolved Mention"/>
    <w:basedOn w:val="DefaultParagraphFont"/>
    <w:uiPriority w:val="99"/>
    <w:semiHidden/>
    <w:unhideWhenUsed/>
    <w:rsid w:val="00A57BD9"/>
    <w:rPr>
      <w:color w:val="605E5C"/>
      <w:shd w:val="clear" w:color="auto" w:fill="E1DFDD"/>
    </w:rPr>
  </w:style>
  <w:style w:type="character" w:styleId="FollowedHyperlink">
    <w:name w:val="FollowedHyperlink"/>
    <w:basedOn w:val="DefaultParagraphFont"/>
    <w:uiPriority w:val="99"/>
    <w:semiHidden/>
    <w:unhideWhenUsed/>
    <w:rsid w:val="004B5E5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1.next.westlaw.com/Link/Document/FullText?findType=Y&amp;serNum=1953119452&amp;pubNum=350&amp;originatingDoc=I85ec4b2f95f211d993e6d35cc61aab4a&amp;refType=RP&amp;fi=co_pp_sp_350_513&amp;originationContext=document&amp;transitionType=DocumentItem&amp;ppcid=e31dc19905a24bcc8a7754d4a81775ea&amp;contextData=(sc.DocLink)" TargetMode="External"/><Relationship Id="rId13" Type="http://schemas.openxmlformats.org/officeDocument/2006/relationships/hyperlink" Target="https://1.next.westlaw.com/Link/Document/FullText?findType=Y&amp;serNum=1994113336&amp;pubNum=0000708&amp;originatingDoc=I041b592d1b6011e6a807ad48145ed9f1&amp;refType=RP&amp;originationContext=document&amp;transitionType=DocumentItem&amp;ppcid=673ae8fef64d400aa68fd538ee5c2854&amp;contextData=(sc.Search)"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1.next.westlaw.com/Link/Document/FullText?findType=Y&amp;serNum=1983116371&amp;originatingDoc=I85ec4b2f95f211d993e6d35cc61aab4a&amp;refType=RP&amp;originationContext=document&amp;transitionType=DocumentItem&amp;ppcid=e31dc19905a24bcc8a7754d4a81775ea&amp;contextData=(sc.DocLink)" TargetMode="External"/><Relationship Id="rId12" Type="http://schemas.openxmlformats.org/officeDocument/2006/relationships/hyperlink" Target="https://1.next.westlaw.com/Link/Document/FullText?findType=Y&amp;serNum=1877185947&amp;pubNum=0000780&amp;originatingDoc=I041b592d1b6011e6a807ad48145ed9f1&amp;refType=RP&amp;fi=co_pp_sp_780_709&amp;originationContext=document&amp;transitionType=DocumentItem&amp;ppcid=673ae8fef64d400aa68fd538ee5c2854&amp;contextData=(sc.Search)" TargetMode="External"/><Relationship Id="rId17" Type="http://schemas.openxmlformats.org/officeDocument/2006/relationships/hyperlink" Target="https://www.law.cornell.edu/supct/html/08-479.ZO.html" TargetMode="External"/><Relationship Id="rId2" Type="http://schemas.openxmlformats.org/officeDocument/2006/relationships/styles" Target="styles.xml"/><Relationship Id="rId16" Type="http://schemas.openxmlformats.org/officeDocument/2006/relationships/hyperlink" Target="https://supreme.justia.com/cases/federal/us/555/223/opinion.html" TargetMode="External"/><Relationship Id="rId1" Type="http://schemas.openxmlformats.org/officeDocument/2006/relationships/numbering" Target="numbering.xml"/><Relationship Id="rId6" Type="http://schemas.openxmlformats.org/officeDocument/2006/relationships/hyperlink" Target="https://1.next.westlaw.com/Link/Document/FullText?findType=Y&amp;serNum=1983116371&amp;pubNum=345&amp;originatingDoc=I85ec4b2f95f211d993e6d35cc61aab4a&amp;refType=RP&amp;fi=co_pp_sp_345_1304&amp;originationContext=document&amp;transitionType=DocumentItem&amp;ppcid=e31dc19905a24bcc8a7754d4a81775ea&amp;contextData=(sc.DocLink)" TargetMode="External"/><Relationship Id="rId11" Type="http://schemas.openxmlformats.org/officeDocument/2006/relationships/hyperlink" Target="https://1.next.westlaw.com/Link/Document/FullText?findType=Y&amp;serNum=1997242374&amp;pubNum=0000708&amp;originatingDoc=I5c278f8fba4111ddb6a3a099756c05b7&amp;refType=RP&amp;originationContext=document&amp;transitionType=DocumentItem&amp;ppcid=bab2e752231a4a1393589821204d0720&amp;contextData=(sc.Search)" TargetMode="External"/><Relationship Id="rId5" Type="http://schemas.openxmlformats.org/officeDocument/2006/relationships/hyperlink" Target="https://1.next.westlaw.com/Link/Document/FullText?findType=Y&amp;serNum=1993230025&amp;pubNum=506&amp;originatingDoc=Ide0b59d594a911d9a707f4371c9c34f0&amp;refType=RP&amp;fi=co_pp_sp_506_378&amp;originationContext=document&amp;transitionType=DocumentItem&amp;ppcid=fb6b72fedb5b4efa8125c7984b4b51e5&amp;contextData=(sc.Search)" TargetMode="External"/><Relationship Id="rId15" Type="http://schemas.openxmlformats.org/officeDocument/2006/relationships/hyperlink" Target="https://supreme.justia.com/cases/federal/us/483/635/case.html" TargetMode="External"/><Relationship Id="rId10" Type="http://schemas.openxmlformats.org/officeDocument/2006/relationships/hyperlink" Target="https://1.next.westlaw.com/Link/Document/FullText?findType=Y&amp;serNum=2011495384&amp;pubNum=0000708&amp;originatingDoc=I5c278f8fba4111ddb6a3a099756c05b7&amp;refType=RP&amp;fi=co_pp_sp_708_1095&amp;originationContext=document&amp;transitionType=DocumentItem&amp;ppcid=bab2e752231a4a1393589821204d0720&amp;contextData=(sc.Search)"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1.next.westlaw.com/Link/Document/FullText?findType=L&amp;pubNum=1000546&amp;cite=42USCAS1983&amp;originatingDoc=I5c278f8fba4111ddb6a3a099756c05b7&amp;refType=LQ&amp;originationContext=document&amp;transitionType=DocumentItem&amp;ppcid=bab2e752231a4a1393589821204d0720&amp;contextData=(sc.Search)" TargetMode="External"/><Relationship Id="rId14" Type="http://schemas.openxmlformats.org/officeDocument/2006/relationships/hyperlink" Target="https://1.next.westlaw.com/Link/Document/FullText?findType=Y&amp;serNum=1994113336&amp;pubNum=0000708&amp;originatingDoc=I041b592d1b6011e6a807ad48145ed9f1&amp;refType=RP&amp;originationContext=document&amp;transitionType=DocumentItem&amp;ppcid=673ae8fef64d400aa68fd538ee5c2854&amp;contextData=(sc.Sear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6</Pages>
  <Words>1720</Words>
  <Characters>9804</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Sibley</dc:creator>
  <cp:keywords/>
  <dc:description/>
  <cp:lastModifiedBy>User</cp:lastModifiedBy>
  <cp:revision>17</cp:revision>
  <cp:lastPrinted>2022-08-21T19:18:00Z</cp:lastPrinted>
  <dcterms:created xsi:type="dcterms:W3CDTF">2022-08-21T19:04:00Z</dcterms:created>
  <dcterms:modified xsi:type="dcterms:W3CDTF">2022-08-21T21:08:00Z</dcterms:modified>
</cp:coreProperties>
</file>